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4B543E8" w14:textId="77777777" w:rsidR="00170E20" w:rsidRPr="00310524" w:rsidRDefault="005D4F94">
      <w:pPr>
        <w:rPr>
          <w:rFonts w:ascii="Times New Roman" w:hAnsi="Times New Roman" w:cs="Times New Roman"/>
        </w:rPr>
      </w:pPr>
      <w:r w:rsidRPr="00310524">
        <w:rPr>
          <w:rFonts w:ascii="Times New Roman" w:hAnsi="Times New Roman" w:cs="Times New Roman"/>
          <w:noProof/>
        </w:rPr>
        <w:drawing>
          <wp:anchor distT="0" distB="0" distL="114300" distR="114300" simplePos="0" relativeHeight="251658240" behindDoc="0" locked="0" layoutInCell="0" hidden="0" allowOverlap="1" wp14:anchorId="36EF73C0" wp14:editId="113DFA65">
            <wp:simplePos x="0" y="0"/>
            <wp:positionH relativeFrom="margin">
              <wp:posOffset>-291465</wp:posOffset>
            </wp:positionH>
            <wp:positionV relativeFrom="paragraph">
              <wp:posOffset>-798830</wp:posOffset>
            </wp:positionV>
            <wp:extent cx="6972300" cy="9830435"/>
            <wp:effectExtent l="0" t="0" r="12700" b="0"/>
            <wp:wrapSquare wrapText="bothSides" distT="0" distB="0" distL="114300" distR="114300"/>
            <wp:docPr id="1" name="image8.jpg" descr="../../../../Downloads/work%20plan%20cover-.jpg"/>
            <wp:cNvGraphicFramePr/>
            <a:graphic xmlns:a="http://schemas.openxmlformats.org/drawingml/2006/main">
              <a:graphicData uri="http://schemas.openxmlformats.org/drawingml/2006/picture">
                <pic:pic xmlns:pic="http://schemas.openxmlformats.org/drawingml/2006/picture">
                  <pic:nvPicPr>
                    <pic:cNvPr id="0" name="image8.jpg" descr="../../../../Downloads/work%20plan%20cover-.jpg"/>
                    <pic:cNvPicPr preferRelativeResize="0"/>
                  </pic:nvPicPr>
                  <pic:blipFill>
                    <a:blip r:embed="rId7"/>
                    <a:srcRect/>
                    <a:stretch>
                      <a:fillRect/>
                    </a:stretch>
                  </pic:blipFill>
                  <pic:spPr>
                    <a:xfrm>
                      <a:off x="0" y="0"/>
                      <a:ext cx="6972300" cy="9830435"/>
                    </a:xfrm>
                    <a:prstGeom prst="rect">
                      <a:avLst/>
                    </a:prstGeom>
                    <a:ln/>
                  </pic:spPr>
                </pic:pic>
              </a:graphicData>
            </a:graphic>
            <wp14:sizeRelH relativeFrom="margin">
              <wp14:pctWidth>0</wp14:pctWidth>
            </wp14:sizeRelH>
            <wp14:sizeRelV relativeFrom="margin">
              <wp14:pctHeight>0</wp14:pctHeight>
            </wp14:sizeRelV>
          </wp:anchor>
        </w:drawing>
      </w:r>
    </w:p>
    <w:p w14:paraId="58FADDAB" w14:textId="77777777" w:rsidR="00170E20" w:rsidRPr="00310524" w:rsidRDefault="00170E20">
      <w:pPr>
        <w:spacing w:line="240" w:lineRule="auto"/>
        <w:rPr>
          <w:rFonts w:ascii="Times New Roman" w:eastAsia="Times New Roman" w:hAnsi="Times New Roman" w:cs="Times New Roman"/>
          <w:highlight w:val="white"/>
        </w:rPr>
      </w:pPr>
    </w:p>
    <w:p w14:paraId="2B16C06A" w14:textId="77777777" w:rsidR="00170E20" w:rsidRPr="00310524" w:rsidRDefault="005D4F94" w:rsidP="0014375D">
      <w:pPr>
        <w:pStyle w:val="Heading1"/>
      </w:pPr>
      <w:r w:rsidRPr="00310524">
        <w:t>Table of Contents</w:t>
      </w:r>
    </w:p>
    <w:sdt>
      <w:sdtPr>
        <w:rPr>
          <w:rFonts w:ascii="Times New Roman" w:eastAsia="Arial" w:hAnsi="Times New Roman" w:cs="Times New Roman"/>
          <w:color w:val="000000"/>
          <w:sz w:val="22"/>
          <w:szCs w:val="22"/>
        </w:rPr>
        <w:id w:val="769591509"/>
        <w:docPartObj>
          <w:docPartGallery w:val="Table of Contents"/>
          <w:docPartUnique/>
        </w:docPartObj>
      </w:sdtPr>
      <w:sdtContent>
        <w:p w14:paraId="22E06D70" w14:textId="77777777" w:rsidR="00170E20" w:rsidRPr="00310524" w:rsidRDefault="005D4F94">
          <w:pPr>
            <w:pStyle w:val="Heading1"/>
            <w:rPr>
              <w:rFonts w:ascii="Times New Roman" w:eastAsia="Times New Roman" w:hAnsi="Times New Roman" w:cs="Times New Roman"/>
              <w:noProof/>
            </w:rPr>
          </w:pPr>
          <w:r w:rsidRPr="00310524">
            <w:rPr>
              <w:rFonts w:ascii="Times New Roman" w:hAnsi="Times New Roman" w:cs="Times New Roman"/>
            </w:rPr>
            <w:fldChar w:fldCharType="begin"/>
          </w:r>
          <w:r w:rsidRPr="00310524">
            <w:rPr>
              <w:rFonts w:ascii="Times New Roman" w:hAnsi="Times New Roman" w:cs="Times New Roman"/>
            </w:rPr>
            <w:instrText xml:space="preserve"> TOC \h \u \z </w:instrText>
          </w:r>
          <w:r w:rsidRPr="00310524">
            <w:rPr>
              <w:rFonts w:ascii="Times New Roman" w:hAnsi="Times New Roman" w:cs="Times New Roman"/>
            </w:rPr>
            <w:fldChar w:fldCharType="separate"/>
          </w:r>
        </w:p>
        <w:p w14:paraId="16D32DBE" w14:textId="3E827FDC"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1.</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Executive Summary</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_gjdgxs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2</w:t>
          </w:r>
          <w:r w:rsidRPr="00310524">
            <w:rPr>
              <w:rFonts w:ascii="Times New Roman" w:hAnsi="Times New Roman" w:cs="Times New Roman"/>
              <w:noProof/>
            </w:rPr>
            <w:fldChar w:fldCharType="end"/>
          </w:r>
        </w:p>
        <w:p w14:paraId="3E8E9383"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rPr>
            <w:t>2.</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Objectives</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_30j0zll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3</w:t>
          </w:r>
          <w:r w:rsidRPr="00310524">
            <w:rPr>
              <w:rFonts w:ascii="Times New Roman" w:hAnsi="Times New Roman" w:cs="Times New Roman"/>
              <w:noProof/>
            </w:rPr>
            <w:fldChar w:fldCharType="end"/>
          </w:r>
        </w:p>
        <w:p w14:paraId="7EBDD8FC"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3.</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Significance of the Project</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_1fob9te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3</w:t>
          </w:r>
          <w:r w:rsidRPr="00310524">
            <w:rPr>
              <w:rFonts w:ascii="Times New Roman" w:hAnsi="Times New Roman" w:cs="Times New Roman"/>
              <w:noProof/>
            </w:rPr>
            <w:fldChar w:fldCharType="end"/>
          </w:r>
        </w:p>
        <w:p w14:paraId="543A37ED"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4.</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Background</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_3znysh7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5</w:t>
          </w:r>
          <w:r w:rsidRPr="00310524">
            <w:rPr>
              <w:rFonts w:ascii="Times New Roman" w:hAnsi="Times New Roman" w:cs="Times New Roman"/>
              <w:noProof/>
            </w:rPr>
            <w:fldChar w:fldCharType="end"/>
          </w:r>
        </w:p>
        <w:p w14:paraId="58806D04"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5.</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Literature Review</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_2et92p0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5</w:t>
          </w:r>
          <w:r w:rsidRPr="00310524">
            <w:rPr>
              <w:rFonts w:ascii="Times New Roman" w:hAnsi="Times New Roman" w:cs="Times New Roman"/>
              <w:noProof/>
            </w:rPr>
            <w:fldChar w:fldCharType="end"/>
          </w:r>
        </w:p>
        <w:p w14:paraId="51E31E33" w14:textId="77777777" w:rsidR="00170E20" w:rsidRPr="00310524" w:rsidRDefault="005D4F94">
          <w:pPr>
            <w:tabs>
              <w:tab w:val="right" w:pos="9350"/>
            </w:tabs>
            <w:ind w:left="220"/>
            <w:rPr>
              <w:rFonts w:ascii="Times New Roman" w:eastAsia="Times New Roman" w:hAnsi="Times New Roman" w:cs="Times New Roman"/>
              <w:noProof/>
              <w:sz w:val="24"/>
              <w:szCs w:val="24"/>
            </w:rPr>
          </w:pPr>
          <w:r w:rsidRPr="00310524">
            <w:rPr>
              <w:rFonts w:ascii="Times New Roman" w:eastAsia="Times New Roman" w:hAnsi="Times New Roman" w:cs="Times New Roman"/>
              <w:i/>
              <w:noProof/>
              <w:sz w:val="24"/>
              <w:szCs w:val="24"/>
              <w:highlight w:val="white"/>
            </w:rPr>
            <w:t>Ormond Lagoon and Proximal Area</w:t>
          </w:r>
          <w:r w:rsidRPr="00310524">
            <w:rPr>
              <w:rFonts w:ascii="Times New Roman" w:eastAsia="Times New Roman" w:hAnsi="Times New Roman" w:cs="Times New Roman"/>
              <w:i/>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_tyjcwt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5</w:t>
          </w:r>
          <w:r w:rsidRPr="00310524">
            <w:rPr>
              <w:rFonts w:ascii="Times New Roman" w:hAnsi="Times New Roman" w:cs="Times New Roman"/>
              <w:noProof/>
            </w:rPr>
            <w:fldChar w:fldCharType="end"/>
          </w:r>
        </w:p>
        <w:p w14:paraId="110A6C03" w14:textId="77777777" w:rsidR="00170E20" w:rsidRPr="00310524" w:rsidRDefault="005D4F94">
          <w:pPr>
            <w:tabs>
              <w:tab w:val="right" w:pos="9350"/>
            </w:tabs>
            <w:ind w:left="220"/>
            <w:rPr>
              <w:rFonts w:ascii="Times New Roman" w:eastAsia="Times New Roman" w:hAnsi="Times New Roman" w:cs="Times New Roman"/>
              <w:noProof/>
              <w:sz w:val="24"/>
              <w:szCs w:val="24"/>
            </w:rPr>
          </w:pPr>
          <w:r w:rsidRPr="00310524">
            <w:rPr>
              <w:rFonts w:ascii="Times New Roman" w:eastAsia="Times New Roman" w:hAnsi="Times New Roman" w:cs="Times New Roman"/>
              <w:i/>
              <w:noProof/>
              <w:sz w:val="24"/>
              <w:szCs w:val="24"/>
            </w:rPr>
            <w:t>Tidewater Goby</w:t>
          </w:r>
          <w:r w:rsidRPr="00310524">
            <w:rPr>
              <w:rFonts w:ascii="Times New Roman" w:eastAsia="Times New Roman" w:hAnsi="Times New Roman" w:cs="Times New Roman"/>
              <w:i/>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_3dy6vkm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8</w:t>
          </w:r>
          <w:r w:rsidRPr="00310524">
            <w:rPr>
              <w:rFonts w:ascii="Times New Roman" w:hAnsi="Times New Roman" w:cs="Times New Roman"/>
              <w:noProof/>
            </w:rPr>
            <w:fldChar w:fldCharType="end"/>
          </w:r>
        </w:p>
        <w:p w14:paraId="57DE6EA1" w14:textId="77777777" w:rsidR="00170E20" w:rsidRPr="00310524" w:rsidRDefault="005D4F94">
          <w:pPr>
            <w:tabs>
              <w:tab w:val="right" w:pos="9350"/>
            </w:tabs>
            <w:ind w:left="220"/>
            <w:rPr>
              <w:rFonts w:ascii="Times New Roman" w:eastAsia="Times New Roman" w:hAnsi="Times New Roman" w:cs="Times New Roman"/>
              <w:noProof/>
              <w:sz w:val="24"/>
              <w:szCs w:val="24"/>
            </w:rPr>
          </w:pPr>
          <w:r w:rsidRPr="00310524">
            <w:rPr>
              <w:rFonts w:ascii="Times New Roman" w:eastAsia="Times New Roman" w:hAnsi="Times New Roman" w:cs="Times New Roman"/>
              <w:i/>
              <w:noProof/>
              <w:sz w:val="24"/>
              <w:szCs w:val="24"/>
            </w:rPr>
            <w:t>Pyrethroid Uses and Properties</w:t>
          </w:r>
          <w:r w:rsidRPr="00310524">
            <w:rPr>
              <w:rFonts w:ascii="Times New Roman" w:eastAsia="Times New Roman" w:hAnsi="Times New Roman" w:cs="Times New Roman"/>
              <w:i/>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_1t3h5sf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11</w:t>
          </w:r>
          <w:r w:rsidRPr="00310524">
            <w:rPr>
              <w:rFonts w:ascii="Times New Roman" w:hAnsi="Times New Roman" w:cs="Times New Roman"/>
              <w:noProof/>
            </w:rPr>
            <w:fldChar w:fldCharType="end"/>
          </w:r>
        </w:p>
        <w:p w14:paraId="0B46F188" w14:textId="77777777" w:rsidR="00170E20" w:rsidRPr="00310524" w:rsidRDefault="005D4F94">
          <w:pPr>
            <w:tabs>
              <w:tab w:val="right" w:pos="9350"/>
            </w:tabs>
            <w:ind w:left="220"/>
            <w:rPr>
              <w:rFonts w:ascii="Times New Roman" w:eastAsia="Times New Roman" w:hAnsi="Times New Roman" w:cs="Times New Roman"/>
              <w:noProof/>
              <w:sz w:val="24"/>
              <w:szCs w:val="24"/>
            </w:rPr>
          </w:pPr>
          <w:r w:rsidRPr="00310524">
            <w:rPr>
              <w:rFonts w:ascii="Times New Roman" w:eastAsia="Times New Roman" w:hAnsi="Times New Roman" w:cs="Times New Roman"/>
              <w:i/>
              <w:noProof/>
              <w:sz w:val="24"/>
              <w:szCs w:val="24"/>
              <w:highlight w:val="white"/>
            </w:rPr>
            <w:t>Effect of Pyrethroids on Fish</w:t>
          </w:r>
          <w:r w:rsidRPr="00310524">
            <w:rPr>
              <w:rFonts w:ascii="Times New Roman" w:eastAsia="Times New Roman" w:hAnsi="Times New Roman" w:cs="Times New Roman"/>
              <w:i/>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_4d34og8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15</w:t>
          </w:r>
          <w:r w:rsidRPr="00310524">
            <w:rPr>
              <w:rFonts w:ascii="Times New Roman" w:hAnsi="Times New Roman" w:cs="Times New Roman"/>
              <w:noProof/>
            </w:rPr>
            <w:fldChar w:fldCharType="end"/>
          </w:r>
        </w:p>
        <w:p w14:paraId="3BAC961E" w14:textId="77777777" w:rsidR="00170E20" w:rsidRPr="00310524" w:rsidRDefault="005D4F94">
          <w:pPr>
            <w:tabs>
              <w:tab w:val="right" w:pos="9350"/>
            </w:tabs>
            <w:ind w:left="220"/>
            <w:rPr>
              <w:rFonts w:ascii="Times New Roman" w:eastAsia="Times New Roman" w:hAnsi="Times New Roman" w:cs="Times New Roman"/>
              <w:noProof/>
              <w:sz w:val="24"/>
              <w:szCs w:val="24"/>
            </w:rPr>
          </w:pPr>
          <w:r w:rsidRPr="00310524">
            <w:rPr>
              <w:rFonts w:ascii="Times New Roman" w:eastAsia="Times New Roman" w:hAnsi="Times New Roman" w:cs="Times New Roman"/>
              <w:i/>
              <w:noProof/>
              <w:sz w:val="24"/>
              <w:szCs w:val="24"/>
              <w:highlight w:val="white"/>
            </w:rPr>
            <w:t>Potential Effects of Pyrethroids on Tidewater Goby</w:t>
          </w:r>
          <w:r w:rsidRPr="00310524">
            <w:rPr>
              <w:rFonts w:ascii="Times New Roman" w:eastAsia="Times New Roman" w:hAnsi="Times New Roman" w:cs="Times New Roman"/>
              <w:i/>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_2s8eyo1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17</w:t>
          </w:r>
          <w:r w:rsidRPr="00310524">
            <w:rPr>
              <w:rFonts w:ascii="Times New Roman" w:hAnsi="Times New Roman" w:cs="Times New Roman"/>
              <w:noProof/>
            </w:rPr>
            <w:fldChar w:fldCharType="end"/>
          </w:r>
        </w:p>
        <w:p w14:paraId="6707E113"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6.</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Data Management Plan</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_17dp8vu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21</w:t>
          </w:r>
          <w:r w:rsidRPr="00310524">
            <w:rPr>
              <w:rFonts w:ascii="Times New Roman" w:hAnsi="Times New Roman" w:cs="Times New Roman"/>
              <w:noProof/>
            </w:rPr>
            <w:fldChar w:fldCharType="end"/>
          </w:r>
        </w:p>
        <w:p w14:paraId="3452907C"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7.Technical approach to solving the problem</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_2jxsxqh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23</w:t>
          </w:r>
          <w:r w:rsidRPr="00310524">
            <w:rPr>
              <w:rFonts w:ascii="Times New Roman" w:hAnsi="Times New Roman" w:cs="Times New Roman"/>
              <w:noProof/>
            </w:rPr>
            <w:fldChar w:fldCharType="end"/>
          </w:r>
        </w:p>
        <w:p w14:paraId="5E7DC52E"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8.</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Deliverables</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_2xcytpi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26</w:t>
          </w:r>
          <w:r w:rsidRPr="00310524">
            <w:rPr>
              <w:rFonts w:ascii="Times New Roman" w:hAnsi="Times New Roman" w:cs="Times New Roman"/>
              <w:noProof/>
            </w:rPr>
            <w:fldChar w:fldCharType="end"/>
          </w:r>
        </w:p>
        <w:p w14:paraId="1A025147" w14:textId="77777777" w:rsidR="00170E20" w:rsidRPr="00310524" w:rsidRDefault="005D4F94">
          <w:pPr>
            <w:tabs>
              <w:tab w:val="left" w:pos="440"/>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9.</w:t>
          </w:r>
          <w:r w:rsidRPr="00310524">
            <w:rPr>
              <w:rFonts w:ascii="Times New Roman" w:eastAsia="Times New Roman" w:hAnsi="Times New Roman" w:cs="Times New Roman"/>
              <w:noProof/>
              <w:sz w:val="24"/>
              <w:szCs w:val="24"/>
            </w:rPr>
            <w:t xml:space="preserve"> </w:t>
          </w:r>
          <w:r w:rsidRPr="00310524">
            <w:rPr>
              <w:rFonts w:ascii="Times New Roman" w:eastAsia="Times New Roman" w:hAnsi="Times New Roman" w:cs="Times New Roman"/>
              <w:b/>
              <w:noProof/>
              <w:sz w:val="24"/>
              <w:szCs w:val="24"/>
              <w:highlight w:val="white"/>
            </w:rPr>
            <w:t>Milestones</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_3as4poj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28</w:t>
          </w:r>
          <w:r w:rsidRPr="00310524">
            <w:rPr>
              <w:rFonts w:ascii="Times New Roman" w:hAnsi="Times New Roman" w:cs="Times New Roman"/>
              <w:noProof/>
            </w:rPr>
            <w:fldChar w:fldCharType="end"/>
          </w:r>
        </w:p>
        <w:p w14:paraId="65F4C2EB" w14:textId="77777777" w:rsidR="00170E20" w:rsidRPr="00310524" w:rsidRDefault="005D4F94">
          <w:pPr>
            <w:tabs>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10. Management Plan</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_3o7alnk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29</w:t>
          </w:r>
          <w:r w:rsidRPr="00310524">
            <w:rPr>
              <w:rFonts w:ascii="Times New Roman" w:hAnsi="Times New Roman" w:cs="Times New Roman"/>
              <w:noProof/>
            </w:rPr>
            <w:fldChar w:fldCharType="end"/>
          </w:r>
        </w:p>
        <w:p w14:paraId="79E69F10" w14:textId="77777777" w:rsidR="00170E20" w:rsidRPr="00310524" w:rsidRDefault="005D4F94">
          <w:pPr>
            <w:tabs>
              <w:tab w:val="right" w:pos="9350"/>
            </w:tabs>
            <w:spacing w:before="120"/>
            <w:rPr>
              <w:rFonts w:ascii="Times New Roman" w:eastAsia="Times New Roman" w:hAnsi="Times New Roman" w:cs="Times New Roman"/>
              <w:noProof/>
              <w:sz w:val="24"/>
              <w:szCs w:val="24"/>
            </w:rPr>
          </w:pPr>
          <w:r w:rsidRPr="00310524">
            <w:rPr>
              <w:rFonts w:ascii="Times New Roman" w:eastAsia="Times New Roman" w:hAnsi="Times New Roman" w:cs="Times New Roman"/>
              <w:b/>
              <w:noProof/>
              <w:sz w:val="24"/>
              <w:szCs w:val="24"/>
              <w:highlight w:val="white"/>
            </w:rPr>
            <w:t>11. Budget</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_ihv636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32</w:t>
          </w:r>
          <w:r w:rsidRPr="00310524">
            <w:rPr>
              <w:rFonts w:ascii="Times New Roman" w:hAnsi="Times New Roman" w:cs="Times New Roman"/>
              <w:noProof/>
            </w:rPr>
            <w:fldChar w:fldCharType="end"/>
          </w:r>
        </w:p>
        <w:p w14:paraId="1F712605" w14:textId="77777777" w:rsidR="00170E20" w:rsidRPr="00310524" w:rsidRDefault="005D4F94">
          <w:pPr>
            <w:tabs>
              <w:tab w:val="right" w:pos="9350"/>
            </w:tabs>
            <w:spacing w:before="120"/>
            <w:rPr>
              <w:rFonts w:ascii="Times New Roman" w:eastAsia="Times New Roman" w:hAnsi="Times New Roman" w:cs="Times New Roman"/>
              <w:sz w:val="24"/>
              <w:szCs w:val="24"/>
            </w:rPr>
          </w:pPr>
          <w:r w:rsidRPr="00310524">
            <w:rPr>
              <w:rFonts w:ascii="Times New Roman" w:eastAsia="Times New Roman" w:hAnsi="Times New Roman" w:cs="Times New Roman"/>
              <w:b/>
              <w:noProof/>
              <w:sz w:val="24"/>
              <w:szCs w:val="24"/>
              <w:highlight w:val="white"/>
            </w:rPr>
            <w:t>12.  References</w:t>
          </w:r>
          <w:r w:rsidRPr="00310524">
            <w:rPr>
              <w:rFonts w:ascii="Times New Roman" w:eastAsia="Times New Roman" w:hAnsi="Times New Roman" w:cs="Times New Roman"/>
              <w:b/>
              <w:noProof/>
              <w:sz w:val="24"/>
              <w:szCs w:val="24"/>
            </w:rPr>
            <w:tab/>
          </w:r>
          <w:r w:rsidRPr="00310524">
            <w:rPr>
              <w:rFonts w:ascii="Times New Roman" w:hAnsi="Times New Roman" w:cs="Times New Roman"/>
              <w:noProof/>
            </w:rPr>
            <w:fldChar w:fldCharType="begin"/>
          </w:r>
          <w:r w:rsidRPr="00310524">
            <w:rPr>
              <w:rFonts w:ascii="Times New Roman" w:hAnsi="Times New Roman" w:cs="Times New Roman"/>
              <w:noProof/>
            </w:rPr>
            <w:instrText xml:space="preserve"> PAGEREF _32hioqz \h </w:instrText>
          </w:r>
          <w:r w:rsidRPr="00310524">
            <w:rPr>
              <w:rFonts w:ascii="Times New Roman" w:hAnsi="Times New Roman" w:cs="Times New Roman"/>
              <w:noProof/>
            </w:rPr>
          </w:r>
          <w:r w:rsidRPr="00310524">
            <w:rPr>
              <w:rFonts w:ascii="Times New Roman" w:hAnsi="Times New Roman" w:cs="Times New Roman"/>
              <w:noProof/>
            </w:rPr>
            <w:fldChar w:fldCharType="separate"/>
          </w:r>
          <w:r w:rsidRPr="00310524">
            <w:rPr>
              <w:rFonts w:ascii="Times New Roman" w:hAnsi="Times New Roman" w:cs="Times New Roman"/>
              <w:noProof/>
            </w:rPr>
            <w:t>32</w:t>
          </w:r>
          <w:r w:rsidRPr="00310524">
            <w:rPr>
              <w:rFonts w:ascii="Times New Roman" w:hAnsi="Times New Roman" w:cs="Times New Roman"/>
              <w:noProof/>
            </w:rPr>
            <w:fldChar w:fldCharType="end"/>
          </w:r>
          <w:r w:rsidRPr="00310524">
            <w:rPr>
              <w:rFonts w:ascii="Times New Roman" w:hAnsi="Times New Roman" w:cs="Times New Roman"/>
            </w:rPr>
            <w:fldChar w:fldCharType="end"/>
          </w:r>
        </w:p>
      </w:sdtContent>
    </w:sdt>
    <w:p w14:paraId="52CC555F" w14:textId="77777777" w:rsidR="00170E20" w:rsidRPr="00310524" w:rsidRDefault="00170E20">
      <w:pPr>
        <w:spacing w:line="240" w:lineRule="auto"/>
        <w:rPr>
          <w:rFonts w:ascii="Times New Roman" w:eastAsia="Times New Roman" w:hAnsi="Times New Roman" w:cs="Times New Roman"/>
          <w:highlight w:val="white"/>
        </w:rPr>
      </w:pPr>
    </w:p>
    <w:p w14:paraId="03F40943" w14:textId="77777777" w:rsidR="00170E20" w:rsidRPr="00310524" w:rsidRDefault="005D4F94">
      <w:pPr>
        <w:rPr>
          <w:rFonts w:ascii="Times New Roman" w:hAnsi="Times New Roman" w:cs="Times New Roman"/>
        </w:rPr>
      </w:pPr>
      <w:r w:rsidRPr="00310524">
        <w:rPr>
          <w:rFonts w:ascii="Times New Roman" w:hAnsi="Times New Roman" w:cs="Times New Roman"/>
        </w:rPr>
        <w:br w:type="page"/>
      </w:r>
    </w:p>
    <w:p w14:paraId="44140A75" w14:textId="77777777" w:rsidR="00170E20" w:rsidRPr="00310524" w:rsidRDefault="00170E20">
      <w:pPr>
        <w:spacing w:line="240" w:lineRule="auto"/>
        <w:rPr>
          <w:rFonts w:ascii="Times New Roman" w:eastAsia="Times New Roman" w:hAnsi="Times New Roman" w:cs="Times New Roman"/>
          <w:color w:val="2E75B5"/>
          <w:sz w:val="32"/>
          <w:szCs w:val="32"/>
          <w:highlight w:val="white"/>
        </w:rPr>
      </w:pPr>
      <w:bookmarkStart w:id="0" w:name="_gjdgxs" w:colFirst="0" w:colLast="0"/>
      <w:bookmarkEnd w:id="0"/>
    </w:p>
    <w:p w14:paraId="4FE21068" w14:textId="77777777" w:rsidR="00170E20" w:rsidRPr="00310524" w:rsidRDefault="005D4F94" w:rsidP="005D4F94">
      <w:pPr>
        <w:pStyle w:val="Heading1"/>
        <w:numPr>
          <w:ilvl w:val="0"/>
          <w:numId w:val="7"/>
        </w:numPr>
        <w:rPr>
          <w:rFonts w:ascii="Times New Roman" w:hAnsi="Times New Roman" w:cs="Times New Roman"/>
          <w:highlight w:val="white"/>
        </w:rPr>
      </w:pPr>
      <w:r w:rsidRPr="00310524">
        <w:rPr>
          <w:rFonts w:ascii="Times New Roman" w:hAnsi="Times New Roman" w:cs="Times New Roman"/>
          <w:highlight w:val="white"/>
        </w:rPr>
        <w:t xml:space="preserve">Executive Summary </w:t>
      </w:r>
    </w:p>
    <w:p w14:paraId="2E9C40D2" w14:textId="77777777" w:rsidR="005D4F94" w:rsidRPr="00310524" w:rsidRDefault="005D4F94" w:rsidP="005D4F94">
      <w:pPr>
        <w:rPr>
          <w:rFonts w:ascii="Times New Roman" w:hAnsi="Times New Roman" w:cs="Times New Roman"/>
          <w:highlight w:val="white"/>
        </w:rPr>
      </w:pPr>
    </w:p>
    <w:p w14:paraId="3B6F865D" w14:textId="77777777" w:rsidR="00170E20" w:rsidRPr="00310524" w:rsidRDefault="005D4F94">
      <w:pPr>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 xml:space="preserve">Wetland ecosystems along the California coast have been decimated by development and land use changes since the early 1800s.  Among the many challenges, inhabitants of these ecosystems face an emerging class of pesticides with an unknown potential for ecological damage. Pyrethroids, a synthesized compound modeled after the naturally occurring pyrethrins found in pyrethrum flowers, include a long list of extremely effective pest control substances that have substituted more hazardous and understood compounds. Pyrethroids are much less toxic to birds and mammals than their pesticide predecessors, yet are extremely lethal to aquatic invertebrates and fish species at levels on the magnitude of parts per trillion. </w:t>
      </w:r>
    </w:p>
    <w:p w14:paraId="408281F7" w14:textId="77777777" w:rsidR="00170E20" w:rsidRPr="00310524" w:rsidRDefault="00170E20">
      <w:pPr>
        <w:rPr>
          <w:rFonts w:ascii="Times New Roman" w:eastAsia="Times New Roman" w:hAnsi="Times New Roman" w:cs="Times New Roman"/>
          <w:color w:val="222222"/>
          <w:highlight w:val="white"/>
        </w:rPr>
      </w:pPr>
    </w:p>
    <w:p w14:paraId="69C0B4F3" w14:textId="77777777" w:rsidR="00170E20" w:rsidRPr="00310524" w:rsidRDefault="005D4F94">
      <w:pPr>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 xml:space="preserve">Although pyrethroids are hydrophobic, resulting in very low water solubility, they readily bind to organic compounds in soils, sediments, or particulate matter which can be transferred to coastal areas </w:t>
      </w:r>
      <w:proofErr w:type="gramStart"/>
      <w:r w:rsidRPr="00310524">
        <w:rPr>
          <w:rFonts w:ascii="Times New Roman" w:eastAsia="Times New Roman" w:hAnsi="Times New Roman" w:cs="Times New Roman"/>
          <w:color w:val="222222"/>
          <w:highlight w:val="white"/>
        </w:rPr>
        <w:t>during  rain</w:t>
      </w:r>
      <w:proofErr w:type="gramEnd"/>
      <w:r w:rsidRPr="00310524">
        <w:rPr>
          <w:rFonts w:ascii="Times New Roman" w:eastAsia="Times New Roman" w:hAnsi="Times New Roman" w:cs="Times New Roman"/>
          <w:color w:val="222222"/>
          <w:highlight w:val="white"/>
        </w:rPr>
        <w:t xml:space="preserve">, irrigation, or erosion events. Pyrethroids are fairly persistent in the environment and can accumulate in the sediments to toxic levels. In Southern California’s coast, the movement of pyrethroids into waterways and estuaries has already begun to wreak significant environmental damage. Fish kills producing thousands of dead fish have been linked to the presence of bifenthrin, an increasingly used pyrethroid for home ant control. Not only can pyrethroids have direct negative health impacts on fish, but by decimating invertebrate populations and </w:t>
      </w:r>
      <w:proofErr w:type="spellStart"/>
      <w:r w:rsidRPr="00310524">
        <w:rPr>
          <w:rFonts w:ascii="Times New Roman" w:eastAsia="Times New Roman" w:hAnsi="Times New Roman" w:cs="Times New Roman"/>
          <w:color w:val="222222"/>
          <w:highlight w:val="white"/>
        </w:rPr>
        <w:t>sorbing</w:t>
      </w:r>
      <w:proofErr w:type="spellEnd"/>
      <w:r w:rsidRPr="00310524">
        <w:rPr>
          <w:rFonts w:ascii="Times New Roman" w:eastAsia="Times New Roman" w:hAnsi="Times New Roman" w:cs="Times New Roman"/>
          <w:color w:val="222222"/>
          <w:highlight w:val="white"/>
        </w:rPr>
        <w:t xml:space="preserve"> to sediments, they can lastingly disrupt an entire food-web from the bottom up. A particular species of concern is the tidewater goby </w:t>
      </w:r>
      <w:r w:rsidRPr="00310524">
        <w:rPr>
          <w:rFonts w:ascii="Times New Roman" w:eastAsia="Times New Roman" w:hAnsi="Times New Roman" w:cs="Times New Roman"/>
          <w:sz w:val="24"/>
          <w:szCs w:val="24"/>
        </w:rPr>
        <w:t>(</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i/>
          <w:sz w:val="24"/>
          <w:szCs w:val="24"/>
        </w:rPr>
        <w:t xml:space="preserve"> </w:t>
      </w:r>
      <w:r w:rsidRPr="00310524">
        <w:rPr>
          <w:rFonts w:ascii="Times New Roman" w:eastAsia="Times New Roman" w:hAnsi="Times New Roman" w:cs="Times New Roman"/>
          <w:sz w:val="24"/>
          <w:szCs w:val="24"/>
        </w:rPr>
        <w:t xml:space="preserve">and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kristinae</w:t>
      </w:r>
      <w:proofErr w:type="spellEnd"/>
      <w:r w:rsidRPr="00310524">
        <w:rPr>
          <w:rFonts w:ascii="Times New Roman" w:eastAsia="Times New Roman" w:hAnsi="Times New Roman" w:cs="Times New Roman"/>
          <w:sz w:val="24"/>
          <w:szCs w:val="24"/>
        </w:rPr>
        <w:t>)</w:t>
      </w:r>
      <w:r w:rsidRPr="00310524">
        <w:rPr>
          <w:rFonts w:ascii="Times New Roman" w:eastAsia="Times New Roman" w:hAnsi="Times New Roman" w:cs="Times New Roman"/>
          <w:color w:val="222222"/>
          <w:highlight w:val="white"/>
        </w:rPr>
        <w:t>. These federally endangered fish thrive in brackish environments, feeding on invertebrates and constructing burrows in sediments to house their eggs and juveniles. The full effects of sediment-bound pyrethroid toxicity on the species remain unclear. Furthermore, as application rates increase and sediment bound levels accumulate, this knowledge gap becomes more pressing. As a result, U.S. Fish and Wildlife Services (USFWS) seeks to better understand the extent, magnitude, and potential impacts of pyrethroid contamination in the Ventura area, as well as the implications for regional and statewide species recovery.</w:t>
      </w:r>
    </w:p>
    <w:p w14:paraId="20EAAE6A" w14:textId="77777777" w:rsidR="00170E20" w:rsidRPr="00310524" w:rsidRDefault="00170E20">
      <w:pPr>
        <w:rPr>
          <w:rFonts w:ascii="Times New Roman" w:eastAsia="Times New Roman" w:hAnsi="Times New Roman" w:cs="Times New Roman"/>
          <w:color w:val="222222"/>
          <w:highlight w:val="white"/>
        </w:rPr>
      </w:pPr>
    </w:p>
    <w:p w14:paraId="6631CDB4" w14:textId="77777777" w:rsidR="00170E20" w:rsidRPr="00310524" w:rsidRDefault="005D4F94">
      <w:pPr>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To inform a species recovery plan, the Goby team will collect, compile, and analyze several datasets:</w:t>
      </w:r>
    </w:p>
    <w:p w14:paraId="1FAD713F" w14:textId="77777777" w:rsidR="00170E20" w:rsidRPr="00310524" w:rsidRDefault="005D4F94">
      <w:pPr>
        <w:numPr>
          <w:ilvl w:val="0"/>
          <w:numId w:val="4"/>
        </w:numPr>
        <w:ind w:hanging="360"/>
        <w:contextualSpacing/>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Tidewater goby population size, distribution, and trends</w:t>
      </w:r>
    </w:p>
    <w:p w14:paraId="5BDE4538" w14:textId="77777777" w:rsidR="00170E20" w:rsidRPr="00310524" w:rsidRDefault="005D4F94">
      <w:pPr>
        <w:numPr>
          <w:ilvl w:val="0"/>
          <w:numId w:val="4"/>
        </w:numPr>
        <w:ind w:hanging="360"/>
        <w:contextualSpacing/>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Pesticide toxicity, application forms, and annual riverine loads</w:t>
      </w:r>
    </w:p>
    <w:p w14:paraId="79124C2F" w14:textId="77777777" w:rsidR="00170E20" w:rsidRPr="00310524" w:rsidRDefault="005D4F94">
      <w:pPr>
        <w:numPr>
          <w:ilvl w:val="0"/>
          <w:numId w:val="4"/>
        </w:numPr>
        <w:ind w:hanging="360"/>
        <w:contextualSpacing/>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Presence of various sediment bound pyrethroids in Ormond Lagoon and other sites of interest</w:t>
      </w:r>
    </w:p>
    <w:p w14:paraId="4E0194EB" w14:textId="77777777" w:rsidR="00170E20" w:rsidRPr="00310524" w:rsidRDefault="005D4F94">
      <w:pPr>
        <w:numPr>
          <w:ilvl w:val="0"/>
          <w:numId w:val="4"/>
        </w:numPr>
        <w:ind w:hanging="360"/>
        <w:contextualSpacing/>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Land use types and surface permeability within the watershed</w:t>
      </w:r>
    </w:p>
    <w:p w14:paraId="2DBAE04D" w14:textId="77777777" w:rsidR="00170E20" w:rsidRPr="00310524" w:rsidRDefault="005D4F94">
      <w:pPr>
        <w:numPr>
          <w:ilvl w:val="0"/>
          <w:numId w:val="4"/>
        </w:numPr>
        <w:ind w:hanging="360"/>
        <w:contextualSpacing/>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Best management practices (BMPs) for reducing pyrethroid runoff and environmental risk</w:t>
      </w:r>
    </w:p>
    <w:p w14:paraId="753BB725" w14:textId="77777777" w:rsidR="00170E20" w:rsidRPr="00310524" w:rsidRDefault="00170E20">
      <w:pPr>
        <w:rPr>
          <w:rFonts w:ascii="Times New Roman" w:eastAsia="Times New Roman" w:hAnsi="Times New Roman" w:cs="Times New Roman"/>
          <w:color w:val="222222"/>
          <w:highlight w:val="white"/>
        </w:rPr>
      </w:pPr>
    </w:p>
    <w:p w14:paraId="0EEE0A18" w14:textId="77777777" w:rsidR="00170E20" w:rsidRPr="00310524" w:rsidRDefault="005D4F94">
      <w:pPr>
        <w:rPr>
          <w:rFonts w:ascii="Times New Roman" w:eastAsia="Times New Roman" w:hAnsi="Times New Roman" w:cs="Times New Roman"/>
          <w:color w:val="222222"/>
          <w:highlight w:val="white"/>
        </w:rPr>
      </w:pPr>
      <w:r w:rsidRPr="00310524">
        <w:rPr>
          <w:rFonts w:ascii="Times New Roman" w:eastAsia="Times New Roman" w:hAnsi="Times New Roman" w:cs="Times New Roman"/>
          <w:color w:val="222222"/>
          <w:highlight w:val="white"/>
        </w:rPr>
        <w:t xml:space="preserve">The Goby Team will use findings from the aforementioned data research to tailor U.S Environmental Protection Agency (EPA) risk models to assess ecological risk associated with current pyrethroid application rates. In addition, a geospatial representation featuring the intersections between tidewater goby population distribution and environmental pyrethroid concentrations can help management bodies </w:t>
      </w:r>
      <w:r w:rsidRPr="00310524">
        <w:rPr>
          <w:rFonts w:ascii="Times New Roman" w:eastAsia="Times New Roman" w:hAnsi="Times New Roman" w:cs="Times New Roman"/>
          <w:color w:val="222222"/>
          <w:highlight w:val="white"/>
        </w:rPr>
        <w:lastRenderedPageBreak/>
        <w:t>focus their effort on the most important or most threatened meta populations. The culminating deliverable of the Goby Team’s work will be a set of management recommendations. The Goby Team will synthesize findings into a guidance document that will formally evaluate pyrethroid pesticide use, provide possible reduction and mitigation efforts, and assess risks associated with continued pyrethroid use.</w:t>
      </w:r>
    </w:p>
    <w:p w14:paraId="5D05F3BD" w14:textId="77777777" w:rsidR="00170E20" w:rsidRPr="00310524" w:rsidRDefault="005D4F94" w:rsidP="005D4F94">
      <w:pPr>
        <w:pStyle w:val="Heading1"/>
        <w:numPr>
          <w:ilvl w:val="0"/>
          <w:numId w:val="7"/>
        </w:numPr>
        <w:rPr>
          <w:rFonts w:ascii="Times New Roman" w:hAnsi="Times New Roman" w:cs="Times New Roman"/>
        </w:rPr>
      </w:pPr>
      <w:bookmarkStart w:id="1" w:name="_30j0zll" w:colFirst="0" w:colLast="0"/>
      <w:bookmarkEnd w:id="1"/>
      <w:r w:rsidRPr="00310524">
        <w:rPr>
          <w:rFonts w:ascii="Times New Roman" w:hAnsi="Times New Roman" w:cs="Times New Roman"/>
          <w:highlight w:val="white"/>
        </w:rPr>
        <w:t xml:space="preserve">Objectives </w:t>
      </w:r>
    </w:p>
    <w:p w14:paraId="48647C44" w14:textId="77777777" w:rsidR="00170E20" w:rsidRPr="00310524" w:rsidRDefault="00170E20">
      <w:pPr>
        <w:rPr>
          <w:rFonts w:ascii="Times New Roman" w:eastAsia="Times New Roman" w:hAnsi="Times New Roman" w:cs="Times New Roman"/>
        </w:rPr>
      </w:pPr>
    </w:p>
    <w:p w14:paraId="5200180A" w14:textId="77777777" w:rsidR="00170E20" w:rsidRPr="00310524" w:rsidRDefault="005D4F94">
      <w:pPr>
        <w:rPr>
          <w:rFonts w:ascii="Times New Roman" w:eastAsia="Times New Roman" w:hAnsi="Times New Roman" w:cs="Times New Roman"/>
        </w:rPr>
      </w:pPr>
      <w:r w:rsidRPr="00310524">
        <w:rPr>
          <w:rFonts w:ascii="Times New Roman" w:eastAsia="Times New Roman" w:hAnsi="Times New Roman" w:cs="Times New Roman"/>
          <w:sz w:val="24"/>
          <w:szCs w:val="24"/>
        </w:rPr>
        <w:t xml:space="preserve">The objective of this project is to assess the potential impacts of increasing pyrethroid pesticide use on the federally-endangered tidewater goby in Southern California’s coast. This project will utilize historic and current water quality and species presence </w:t>
      </w:r>
      <w:proofErr w:type="gramStart"/>
      <w:r w:rsidRPr="00310524">
        <w:rPr>
          <w:rFonts w:ascii="Times New Roman" w:eastAsia="Times New Roman" w:hAnsi="Times New Roman" w:cs="Times New Roman"/>
          <w:sz w:val="24"/>
          <w:szCs w:val="24"/>
        </w:rPr>
        <w:t>data  to</w:t>
      </w:r>
      <w:proofErr w:type="gramEnd"/>
      <w:r w:rsidRPr="00310524">
        <w:rPr>
          <w:rFonts w:ascii="Times New Roman" w:eastAsia="Times New Roman" w:hAnsi="Times New Roman" w:cs="Times New Roman"/>
          <w:sz w:val="24"/>
          <w:szCs w:val="24"/>
        </w:rPr>
        <w:t xml:space="preserve"> develop a geospatial representation of pyrethroid concentration zones and tidewater goby populations. Additionally, students will implement EPA’s pesticide risk assessment model, using more exact local conditions to estimate the aquatic concentration of pyrethroids with certain application rates and the risk they pose to the tidewater goby and other fish populations near Ormond Beach Lagoon. Using concepts of conservation agriculture and green infrastructure, the Goby Team will formulate BMPs to reduce the off-site transportation of water and soil for pyrethroid application areas. Finally, this project will develop key management recommendations </w:t>
      </w:r>
      <w:proofErr w:type="gramStart"/>
      <w:r w:rsidRPr="00310524">
        <w:rPr>
          <w:rFonts w:ascii="Times New Roman" w:eastAsia="Times New Roman" w:hAnsi="Times New Roman" w:cs="Times New Roman"/>
          <w:sz w:val="24"/>
          <w:szCs w:val="24"/>
        </w:rPr>
        <w:t>to</w:t>
      </w:r>
      <w:proofErr w:type="gramEnd"/>
      <w:r w:rsidRPr="00310524">
        <w:rPr>
          <w:rFonts w:ascii="Times New Roman" w:eastAsia="Times New Roman" w:hAnsi="Times New Roman" w:cs="Times New Roman"/>
          <w:sz w:val="24"/>
          <w:szCs w:val="24"/>
        </w:rPr>
        <w:t xml:space="preserve"> relevant local, state, and federal agencies to reduce the threat of aqueous and sediment-bound pyrethroid pesticides to tidewater goby population viabilit</w:t>
      </w:r>
      <w:r w:rsidRPr="00310524">
        <w:rPr>
          <w:rFonts w:ascii="Times New Roman" w:eastAsia="Times New Roman" w:hAnsi="Times New Roman" w:cs="Times New Roman"/>
        </w:rPr>
        <w:t>y.</w:t>
      </w:r>
    </w:p>
    <w:p w14:paraId="68A72194" w14:textId="77777777" w:rsidR="00170E20" w:rsidRPr="00310524" w:rsidRDefault="005D4F94" w:rsidP="005D4F94">
      <w:pPr>
        <w:pStyle w:val="Heading1"/>
        <w:numPr>
          <w:ilvl w:val="0"/>
          <w:numId w:val="7"/>
        </w:numPr>
        <w:rPr>
          <w:rFonts w:ascii="Times New Roman" w:hAnsi="Times New Roman" w:cs="Times New Roman"/>
          <w:highlight w:val="white"/>
        </w:rPr>
      </w:pPr>
      <w:bookmarkStart w:id="2" w:name="_1fob9te" w:colFirst="0" w:colLast="0"/>
      <w:bookmarkEnd w:id="2"/>
      <w:r w:rsidRPr="00310524">
        <w:rPr>
          <w:rFonts w:ascii="Times New Roman" w:hAnsi="Times New Roman" w:cs="Times New Roman"/>
          <w:highlight w:val="white"/>
        </w:rPr>
        <w:t xml:space="preserve">Significance of the Project </w:t>
      </w:r>
    </w:p>
    <w:p w14:paraId="6EC024D2" w14:textId="77777777" w:rsidR="00170E20" w:rsidRPr="00310524" w:rsidRDefault="00170E20">
      <w:pPr>
        <w:rPr>
          <w:rFonts w:ascii="Times New Roman" w:eastAsia="Times New Roman" w:hAnsi="Times New Roman" w:cs="Times New Roman"/>
          <w:sz w:val="24"/>
          <w:szCs w:val="24"/>
        </w:rPr>
      </w:pPr>
    </w:p>
    <w:p w14:paraId="5C51885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Twice in the past two years, the Oxnard/Port Hueneme area has experienced fish kills, potentially linked to exposure to pyrethroid pesticides (California Department of Fish and Wildlife 2015; Jenny Marek, personal communication, 12 January 2017). Pyrethroids are a common and increasingly used class of agricultural and household insecticides (EPA 2016). Although significantly less toxic to humans and mammals than their organophosphate predecessors, pyrethroids are acutely toxic to aquatic species, particularly in the aqueous phase (EPA 2016).</w:t>
      </w:r>
    </w:p>
    <w:p w14:paraId="3EE9768F" w14:textId="77777777" w:rsidR="00170E20" w:rsidRPr="00310524" w:rsidRDefault="005D4F94">
      <w:pPr>
        <w:jc w:val="cente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 xml:space="preserve"> </w:t>
      </w:r>
      <w:r w:rsidRPr="00310524">
        <w:rPr>
          <w:rFonts w:ascii="Times New Roman" w:hAnsi="Times New Roman" w:cs="Times New Roman"/>
          <w:noProof/>
        </w:rPr>
        <w:drawing>
          <wp:inline distT="114300" distB="114300" distL="114300" distR="114300" wp14:anchorId="5DC48087" wp14:editId="5683946E">
            <wp:extent cx="4659284" cy="5338763"/>
            <wp:effectExtent l="0" t="0" r="0" b="0"/>
            <wp:docPr id="8" name="image16.jpg" descr="Ormond Lagoon CA.jpg"/>
            <wp:cNvGraphicFramePr/>
            <a:graphic xmlns:a="http://schemas.openxmlformats.org/drawingml/2006/main">
              <a:graphicData uri="http://schemas.openxmlformats.org/drawingml/2006/picture">
                <pic:pic xmlns:pic="http://schemas.openxmlformats.org/drawingml/2006/picture">
                  <pic:nvPicPr>
                    <pic:cNvPr id="0" name="image16.jpg" descr="Ormond Lagoon CA.jpg"/>
                    <pic:cNvPicPr preferRelativeResize="0"/>
                  </pic:nvPicPr>
                  <pic:blipFill>
                    <a:blip r:embed="rId8"/>
                    <a:srcRect/>
                    <a:stretch>
                      <a:fillRect/>
                    </a:stretch>
                  </pic:blipFill>
                  <pic:spPr>
                    <a:xfrm>
                      <a:off x="0" y="0"/>
                      <a:ext cx="4659284" cy="5338763"/>
                    </a:xfrm>
                    <a:prstGeom prst="rect">
                      <a:avLst/>
                    </a:prstGeom>
                    <a:ln/>
                  </pic:spPr>
                </pic:pic>
              </a:graphicData>
            </a:graphic>
          </wp:inline>
        </w:drawing>
      </w:r>
    </w:p>
    <w:p w14:paraId="1D7621D2" w14:textId="77777777" w:rsidR="00170E20" w:rsidRPr="00310524" w:rsidRDefault="005D4F94">
      <w:pPr>
        <w:spacing w:line="240" w:lineRule="auto"/>
        <w:ind w:left="1440"/>
        <w:rPr>
          <w:rFonts w:ascii="Times New Roman" w:eastAsia="Times New Roman" w:hAnsi="Times New Roman" w:cs="Times New Roman"/>
          <w:sz w:val="18"/>
          <w:szCs w:val="18"/>
        </w:rPr>
      </w:pPr>
      <w:r w:rsidRPr="00310524">
        <w:rPr>
          <w:rFonts w:ascii="Times New Roman" w:eastAsia="Times New Roman" w:hAnsi="Times New Roman" w:cs="Times New Roman"/>
          <w:b/>
          <w:sz w:val="18"/>
          <w:szCs w:val="18"/>
        </w:rPr>
        <w:t>Figure 1. Ormond Lagoon, California.</w:t>
      </w:r>
      <w:r w:rsidRPr="00310524">
        <w:rPr>
          <w:rFonts w:ascii="Times New Roman" w:eastAsia="Times New Roman" w:hAnsi="Times New Roman" w:cs="Times New Roman"/>
          <w:sz w:val="18"/>
          <w:szCs w:val="18"/>
        </w:rPr>
        <w:t xml:space="preserve"> (Google Earth, 2017)</w:t>
      </w:r>
    </w:p>
    <w:p w14:paraId="57FC2EE8" w14:textId="77777777" w:rsidR="00170E20" w:rsidRPr="00310524" w:rsidRDefault="00170E20">
      <w:pPr>
        <w:spacing w:line="240" w:lineRule="auto"/>
        <w:ind w:left="1440"/>
        <w:rPr>
          <w:rFonts w:ascii="Times New Roman" w:eastAsia="Times New Roman" w:hAnsi="Times New Roman" w:cs="Times New Roman"/>
          <w:sz w:val="18"/>
          <w:szCs w:val="18"/>
        </w:rPr>
      </w:pPr>
    </w:p>
    <w:p w14:paraId="00A06E46"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One such aquatic species of concern is the tidewater goby, a small, grey-brown fish found in estuarine waters along the California coast (USFWS 2014). Tidewater goby populations have been declining, largely due to habitat modification, water quality degradation, and drought, prompted the USFWS to list the species as “endangered” in 1994 (USFWS 2014). The recent fish kills in Oxnard/Port Hueneme occurred within or in close proximity to tidewater goby designated critical habitat at Ormond Beach Lagoon (Endangered and</w:t>
      </w:r>
      <w:r w:rsidR="002B291F" w:rsidRPr="00310524">
        <w:rPr>
          <w:rFonts w:ascii="Times New Roman" w:eastAsia="Times New Roman" w:hAnsi="Times New Roman" w:cs="Times New Roman"/>
          <w:sz w:val="24"/>
          <w:szCs w:val="24"/>
        </w:rPr>
        <w:t xml:space="preserve"> Threatened Wildlife and Plants</w:t>
      </w:r>
      <w:r w:rsidRPr="00310524">
        <w:rPr>
          <w:rFonts w:ascii="Times New Roman" w:eastAsia="Times New Roman" w:hAnsi="Times New Roman" w:cs="Times New Roman"/>
          <w:sz w:val="24"/>
          <w:szCs w:val="24"/>
        </w:rPr>
        <w:t>; Designation of Critical Habitat for Tidewater Goby 2013). Furthermore, tidewater gobies spend considerable amounts of time burrowing in sediment, including vulnerable egg and juvenile stages. The full effects of sediment-bound pyrethroid toxicity on the species remain unclear and as sediment bound levels increase, this knowledge gap becomes more pressing. As a result, USFWS seeks to better understand the extent, magnitude, and potential impacts of pyrethroid contamination in the area, as well as the implications for regional and statewide species recovery.</w:t>
      </w:r>
    </w:p>
    <w:p w14:paraId="25B32DC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 xml:space="preserve"> </w:t>
      </w:r>
    </w:p>
    <w:p w14:paraId="65F0D80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In addition to the USFWS, the Ventura County Watershed Protection District, a manager of several drains discharging into Ormond Beach Lagoon, will benefit from a more thorough analysis of contamination and management considerations for this portion of critical habitat.</w:t>
      </w:r>
    </w:p>
    <w:p w14:paraId="639D7A79"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Nonprofit organizations following the management of tidewater goby recovery and water quality, such as the Center for Biological Diversity, Ventura </w:t>
      </w:r>
      <w:proofErr w:type="spellStart"/>
      <w:r w:rsidRPr="00310524">
        <w:rPr>
          <w:rFonts w:ascii="Times New Roman" w:eastAsia="Times New Roman" w:hAnsi="Times New Roman" w:cs="Times New Roman"/>
          <w:sz w:val="24"/>
          <w:szCs w:val="24"/>
        </w:rPr>
        <w:t>Coastkeeper</w:t>
      </w:r>
      <w:proofErr w:type="spellEnd"/>
      <w:r w:rsidRPr="00310524">
        <w:rPr>
          <w:rFonts w:ascii="Times New Roman" w:eastAsia="Times New Roman" w:hAnsi="Times New Roman" w:cs="Times New Roman"/>
          <w:sz w:val="24"/>
          <w:szCs w:val="24"/>
        </w:rPr>
        <w:t xml:space="preserve">, and Santa Barbara </w:t>
      </w:r>
      <w:proofErr w:type="spellStart"/>
      <w:r w:rsidRPr="00310524">
        <w:rPr>
          <w:rFonts w:ascii="Times New Roman" w:eastAsia="Times New Roman" w:hAnsi="Times New Roman" w:cs="Times New Roman"/>
          <w:sz w:val="24"/>
          <w:szCs w:val="24"/>
        </w:rPr>
        <w:t>Channelkeeper</w:t>
      </w:r>
      <w:proofErr w:type="spellEnd"/>
      <w:r w:rsidRPr="00310524">
        <w:rPr>
          <w:rFonts w:ascii="Times New Roman" w:eastAsia="Times New Roman" w:hAnsi="Times New Roman" w:cs="Times New Roman"/>
          <w:sz w:val="24"/>
          <w:szCs w:val="24"/>
        </w:rPr>
        <w:t>, may also benefit. Finally, residential and agricultural pesticide users— including homeowners, pest control companies, and agricultural landowners— can benefit from potential BMPs developed or recommended in conjunction with this project.</w:t>
      </w:r>
    </w:p>
    <w:p w14:paraId="2B704CF9" w14:textId="77777777" w:rsidR="00170E20" w:rsidRPr="00310524" w:rsidRDefault="005D4F94" w:rsidP="002B291F">
      <w:pPr>
        <w:pStyle w:val="Heading1"/>
        <w:numPr>
          <w:ilvl w:val="0"/>
          <w:numId w:val="7"/>
        </w:numPr>
        <w:rPr>
          <w:rFonts w:ascii="Times New Roman" w:hAnsi="Times New Roman" w:cs="Times New Roman"/>
          <w:highlight w:val="white"/>
        </w:rPr>
      </w:pPr>
      <w:bookmarkStart w:id="3" w:name="_3znysh7" w:colFirst="0" w:colLast="0"/>
      <w:bookmarkEnd w:id="3"/>
      <w:r w:rsidRPr="00310524">
        <w:rPr>
          <w:rFonts w:ascii="Times New Roman" w:hAnsi="Times New Roman" w:cs="Times New Roman"/>
          <w:highlight w:val="white"/>
        </w:rPr>
        <w:t>Background</w:t>
      </w:r>
    </w:p>
    <w:p w14:paraId="0E45BE35" w14:textId="77777777" w:rsidR="00170E20" w:rsidRPr="00310524" w:rsidRDefault="00170E20">
      <w:pPr>
        <w:rPr>
          <w:rFonts w:ascii="Times New Roman" w:eastAsia="Times New Roman" w:hAnsi="Times New Roman" w:cs="Times New Roman"/>
          <w:highlight w:val="white"/>
        </w:rPr>
      </w:pPr>
    </w:p>
    <w:p w14:paraId="249EB140"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The focus area for this project is Ormond Lagoon, California. Our work will contribute to a growing body of research on pyrethroid toxicity and contamination in tidewater goby range, including:</w:t>
      </w:r>
    </w:p>
    <w:p w14:paraId="7702AE5A"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3CE7A530" w14:textId="77777777" w:rsidR="00170E20" w:rsidRPr="00310524" w:rsidRDefault="005D4F94">
      <w:pPr>
        <w:numPr>
          <w:ilvl w:val="0"/>
          <w:numId w:val="5"/>
        </w:numPr>
        <w:spacing w:line="240" w:lineRule="auto"/>
        <w:ind w:hanging="360"/>
        <w:contextualSpacing/>
        <w:rPr>
          <w:rFonts w:ascii="Times New Roman" w:eastAsia="Times New Roman" w:hAnsi="Times New Roman" w:cs="Times New Roman"/>
        </w:rPr>
      </w:pPr>
      <w:r w:rsidRPr="00310524">
        <w:rPr>
          <w:rFonts w:ascii="Times New Roman" w:eastAsia="Times New Roman" w:hAnsi="Times New Roman" w:cs="Times New Roman"/>
          <w:sz w:val="24"/>
          <w:szCs w:val="24"/>
        </w:rPr>
        <w:t>A June 2011 U.S. FWS report on pyrethroid toxicity and early management considerations;</w:t>
      </w:r>
    </w:p>
    <w:p w14:paraId="1DB8EAE5" w14:textId="77777777" w:rsidR="00170E20" w:rsidRPr="00310524" w:rsidRDefault="005D4F94">
      <w:pPr>
        <w:numPr>
          <w:ilvl w:val="0"/>
          <w:numId w:val="5"/>
        </w:numPr>
        <w:spacing w:line="240" w:lineRule="auto"/>
        <w:ind w:hanging="360"/>
        <w:contextualSpacing/>
        <w:rPr>
          <w:rFonts w:ascii="Times New Roman" w:eastAsia="Times New Roman" w:hAnsi="Times New Roman" w:cs="Times New Roman"/>
        </w:rPr>
      </w:pPr>
      <w:r w:rsidRPr="00310524">
        <w:rPr>
          <w:rFonts w:ascii="Times New Roman" w:eastAsia="Times New Roman" w:hAnsi="Times New Roman" w:cs="Times New Roman"/>
          <w:sz w:val="24"/>
          <w:szCs w:val="24"/>
        </w:rPr>
        <w:t xml:space="preserve">A December 2012 Environmental Protection Agency bifenthrin risk report, which used </w:t>
      </w:r>
      <w:r w:rsidRPr="00310524">
        <w:rPr>
          <w:rFonts w:ascii="Times New Roman" w:eastAsia="Times New Roman" w:hAnsi="Times New Roman" w:cs="Times New Roman"/>
          <w:color w:val="222222"/>
          <w:sz w:val="24"/>
          <w:szCs w:val="24"/>
        </w:rPr>
        <w:t xml:space="preserve">Express (EXAMS-PRZM Exposure Simulation Shell) </w:t>
      </w:r>
      <w:r w:rsidRPr="00310524">
        <w:rPr>
          <w:rFonts w:ascii="Times New Roman" w:eastAsia="Times New Roman" w:hAnsi="Times New Roman" w:cs="Times New Roman"/>
          <w:sz w:val="24"/>
          <w:szCs w:val="24"/>
        </w:rPr>
        <w:t>to develop Estimated Environmental Concentrations (EECs) for aquatic exposure of pyrethroid pesticides under various land uses and application rates/methods statewide;</w:t>
      </w:r>
    </w:p>
    <w:p w14:paraId="5A181F78" w14:textId="77777777" w:rsidR="00170E20" w:rsidRPr="00310524" w:rsidRDefault="005D4F94">
      <w:pPr>
        <w:numPr>
          <w:ilvl w:val="0"/>
          <w:numId w:val="5"/>
        </w:numPr>
        <w:spacing w:line="240" w:lineRule="auto"/>
        <w:ind w:hanging="360"/>
        <w:contextualSpacing/>
        <w:rPr>
          <w:rFonts w:ascii="Times New Roman" w:eastAsia="Times New Roman" w:hAnsi="Times New Roman" w:cs="Times New Roman"/>
        </w:rPr>
      </w:pPr>
      <w:r w:rsidRPr="00310524">
        <w:rPr>
          <w:rFonts w:ascii="Times New Roman" w:eastAsia="Times New Roman" w:hAnsi="Times New Roman" w:cs="Times New Roman"/>
          <w:sz w:val="24"/>
          <w:szCs w:val="24"/>
        </w:rPr>
        <w:t>A September 2015 California Department of Fish and Wildlife loss report, determining pyrethroid toxicity as the cause of a July 2015 fish kill in Port Hueneme’s J Street Canal.</w:t>
      </w:r>
    </w:p>
    <w:p w14:paraId="6A7C14FC" w14:textId="77777777" w:rsidR="00170E20" w:rsidRPr="00310524" w:rsidRDefault="00170E20">
      <w:pPr>
        <w:spacing w:line="240" w:lineRule="auto"/>
        <w:rPr>
          <w:rFonts w:ascii="Times New Roman" w:eastAsia="Times New Roman" w:hAnsi="Times New Roman" w:cs="Times New Roman"/>
          <w:sz w:val="24"/>
          <w:szCs w:val="24"/>
        </w:rPr>
      </w:pPr>
    </w:p>
    <w:p w14:paraId="353DF1F2"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While there is prior and ongoing research on pyrethroid pesticide contamination and toxicity throughout California, the Goby Team will assist USFWS staff by providing a detailed, regional map of pyrethroid “hot spots” and generating EECs from the PRZM/EXAMS models using localized land use and pyrethroid application conditions for Ventura County. </w:t>
      </w:r>
    </w:p>
    <w:p w14:paraId="2477A80F" w14:textId="77777777" w:rsidR="00170E20" w:rsidRPr="00310524" w:rsidRDefault="00170E20">
      <w:pPr>
        <w:spacing w:line="240" w:lineRule="auto"/>
        <w:ind w:firstLine="720"/>
        <w:rPr>
          <w:rFonts w:ascii="Times New Roman" w:eastAsia="Times New Roman" w:hAnsi="Times New Roman" w:cs="Times New Roman"/>
          <w:sz w:val="24"/>
          <w:szCs w:val="24"/>
        </w:rPr>
      </w:pPr>
    </w:p>
    <w:p w14:paraId="1D770471" w14:textId="77777777" w:rsidR="00170E20" w:rsidRPr="00310524" w:rsidRDefault="005D4F94" w:rsidP="002B291F">
      <w:pPr>
        <w:pStyle w:val="Heading1"/>
        <w:numPr>
          <w:ilvl w:val="0"/>
          <w:numId w:val="7"/>
        </w:numPr>
        <w:rPr>
          <w:rFonts w:ascii="Times New Roman" w:hAnsi="Times New Roman" w:cs="Times New Roman"/>
          <w:highlight w:val="white"/>
        </w:rPr>
      </w:pPr>
      <w:bookmarkStart w:id="4" w:name="_2et92p0" w:colFirst="0" w:colLast="0"/>
      <w:bookmarkEnd w:id="4"/>
      <w:r w:rsidRPr="00310524">
        <w:rPr>
          <w:rFonts w:ascii="Times New Roman" w:hAnsi="Times New Roman" w:cs="Times New Roman"/>
          <w:highlight w:val="white"/>
        </w:rPr>
        <w:t>Literature Review</w:t>
      </w:r>
    </w:p>
    <w:p w14:paraId="79F23758" w14:textId="77777777" w:rsidR="00170E20" w:rsidRPr="00310524" w:rsidRDefault="00170E20">
      <w:pPr>
        <w:rPr>
          <w:rFonts w:ascii="Times New Roman" w:eastAsia="Times New Roman" w:hAnsi="Times New Roman" w:cs="Times New Roman"/>
          <w:highlight w:val="white"/>
        </w:rPr>
      </w:pPr>
    </w:p>
    <w:p w14:paraId="5C421212" w14:textId="77777777" w:rsidR="00170E20" w:rsidRPr="00310524" w:rsidRDefault="005D4F94" w:rsidP="002B291F">
      <w:pPr>
        <w:pStyle w:val="Heading2"/>
        <w:rPr>
          <w:rFonts w:ascii="Times New Roman" w:hAnsi="Times New Roman" w:cs="Times New Roman"/>
          <w:highlight w:val="white"/>
        </w:rPr>
      </w:pPr>
      <w:bookmarkStart w:id="5" w:name="_tyjcwt" w:colFirst="0" w:colLast="0"/>
      <w:bookmarkEnd w:id="5"/>
      <w:r w:rsidRPr="00310524">
        <w:rPr>
          <w:rFonts w:ascii="Times New Roman" w:hAnsi="Times New Roman" w:cs="Times New Roman"/>
          <w:highlight w:val="white"/>
        </w:rPr>
        <w:t>Ormond Lagoon and Proximal Area</w:t>
      </w:r>
    </w:p>
    <w:p w14:paraId="6DBC13FA" w14:textId="77777777" w:rsidR="00170E20" w:rsidRPr="00310524" w:rsidRDefault="005D4F94" w:rsidP="002B291F">
      <w:pPr>
        <w:pStyle w:val="Heading3"/>
        <w:ind w:firstLine="720"/>
        <w:rPr>
          <w:rFonts w:ascii="Times New Roman" w:hAnsi="Times New Roman" w:cs="Times New Roman"/>
          <w:i/>
          <w:highlight w:val="white"/>
        </w:rPr>
      </w:pPr>
      <w:r w:rsidRPr="00310524">
        <w:rPr>
          <w:rFonts w:ascii="Times New Roman" w:hAnsi="Times New Roman" w:cs="Times New Roman"/>
          <w:i/>
          <w:highlight w:val="white"/>
        </w:rPr>
        <w:t>Site Overview</w:t>
      </w:r>
    </w:p>
    <w:p w14:paraId="63575D0C" w14:textId="14AD3B61"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color w:val="222222"/>
          <w:sz w:val="24"/>
          <w:szCs w:val="24"/>
          <w:highlight w:val="white"/>
        </w:rPr>
        <w:t>Ormond Lagoon, situated along the south coast of California in the city of Port Hueneme was once home to a complex and productive wetland ecosystem</w:t>
      </w:r>
      <w:r w:rsidR="00D542AF">
        <w:rPr>
          <w:rFonts w:ascii="Times New Roman" w:eastAsia="Times New Roman" w:hAnsi="Times New Roman" w:cs="Times New Roman"/>
          <w:color w:val="222222"/>
          <w:sz w:val="24"/>
          <w:szCs w:val="24"/>
          <w:highlight w:val="white"/>
        </w:rPr>
        <w:t xml:space="preserve"> (</w:t>
      </w:r>
      <w:r w:rsidR="00D542AF" w:rsidRPr="00D542AF">
        <w:rPr>
          <w:rFonts w:ascii="Times New Roman" w:eastAsia="Times New Roman" w:hAnsi="Times New Roman" w:cs="Times New Roman"/>
          <w:b/>
          <w:color w:val="222222"/>
          <w:sz w:val="24"/>
          <w:szCs w:val="24"/>
          <w:highlight w:val="white"/>
        </w:rPr>
        <w:t>Figure 2</w:t>
      </w:r>
      <w:r w:rsidR="00D542AF">
        <w:rPr>
          <w:rFonts w:ascii="Times New Roman" w:eastAsia="Times New Roman" w:hAnsi="Times New Roman" w:cs="Times New Roman"/>
          <w:color w:val="222222"/>
          <w:sz w:val="24"/>
          <w:szCs w:val="24"/>
          <w:highlight w:val="white"/>
        </w:rPr>
        <w:t>)</w:t>
      </w:r>
      <w:r w:rsidRPr="00310524">
        <w:rPr>
          <w:rFonts w:ascii="Times New Roman" w:eastAsia="Times New Roman" w:hAnsi="Times New Roman" w:cs="Times New Roman"/>
          <w:color w:val="222222"/>
          <w:sz w:val="24"/>
          <w:szCs w:val="24"/>
          <w:highlight w:val="white"/>
        </w:rPr>
        <w:t xml:space="preserve">. However, due to extensive development and urbanization, Ormond Lagoon now has few and fleeting wetland habitats for remaining species. The surrounding land uses vary dramatically, but are dominated by agricultural, industrial, and residential developments. Ormond Lagoon is part of the 75% wetlands lost along the Southern California Coast due to development (California Coastal Conservancy 1999). In addition to the environmental stress of on-site land use changes, such as </w:t>
      </w:r>
      <w:r w:rsidRPr="00310524">
        <w:rPr>
          <w:rFonts w:ascii="Times New Roman" w:eastAsia="Times New Roman" w:hAnsi="Times New Roman" w:cs="Times New Roman"/>
          <w:color w:val="222222"/>
          <w:sz w:val="24"/>
          <w:szCs w:val="24"/>
          <w:highlight w:val="white"/>
        </w:rPr>
        <w:lastRenderedPageBreak/>
        <w:t xml:space="preserve">the conversion of wetland areas into recreational beaches, are industrial and agricultural impacts affecting Ormond Lagoon’s inflows. Directly adjacent to Ormond Lagoon is a defunct metal recovery smelter formerly operated by </w:t>
      </w:r>
      <w:proofErr w:type="spellStart"/>
      <w:r w:rsidRPr="00310524">
        <w:rPr>
          <w:rFonts w:ascii="Times New Roman" w:eastAsia="Times New Roman" w:hAnsi="Times New Roman" w:cs="Times New Roman"/>
          <w:color w:val="222222"/>
          <w:sz w:val="24"/>
          <w:szCs w:val="24"/>
          <w:highlight w:val="white"/>
        </w:rPr>
        <w:t>Halaco</w:t>
      </w:r>
      <w:proofErr w:type="spellEnd"/>
      <w:r w:rsidRPr="00310524">
        <w:rPr>
          <w:rFonts w:ascii="Times New Roman" w:eastAsia="Times New Roman" w:hAnsi="Times New Roman" w:cs="Times New Roman"/>
          <w:color w:val="222222"/>
          <w:sz w:val="24"/>
          <w:szCs w:val="24"/>
          <w:highlight w:val="white"/>
        </w:rPr>
        <w:t xml:space="preserve"> Engine</w:t>
      </w:r>
      <w:r w:rsidR="00FE056E" w:rsidRPr="00310524">
        <w:rPr>
          <w:rFonts w:ascii="Times New Roman" w:eastAsia="Times New Roman" w:hAnsi="Times New Roman" w:cs="Times New Roman"/>
          <w:color w:val="222222"/>
          <w:sz w:val="24"/>
          <w:szCs w:val="24"/>
          <w:highlight w:val="white"/>
        </w:rPr>
        <w:t>ering Company (</w:t>
      </w:r>
      <w:proofErr w:type="spellStart"/>
      <w:r w:rsidR="00FE056E" w:rsidRPr="00310524">
        <w:rPr>
          <w:rFonts w:ascii="Times New Roman" w:eastAsia="Times New Roman" w:hAnsi="Times New Roman" w:cs="Times New Roman"/>
          <w:color w:val="222222"/>
          <w:sz w:val="24"/>
          <w:szCs w:val="24"/>
          <w:highlight w:val="white"/>
        </w:rPr>
        <w:t>Halaco</w:t>
      </w:r>
      <w:proofErr w:type="spellEnd"/>
      <w:r w:rsidR="00FE056E" w:rsidRPr="00310524">
        <w:rPr>
          <w:rFonts w:ascii="Times New Roman" w:eastAsia="Times New Roman" w:hAnsi="Times New Roman" w:cs="Times New Roman"/>
          <w:color w:val="222222"/>
          <w:sz w:val="24"/>
          <w:szCs w:val="24"/>
          <w:highlight w:val="white"/>
        </w:rPr>
        <w:t xml:space="preserve">), which </w:t>
      </w:r>
      <w:r w:rsidRPr="00310524">
        <w:rPr>
          <w:rFonts w:ascii="Times New Roman" w:eastAsia="Times New Roman" w:hAnsi="Times New Roman" w:cs="Times New Roman"/>
          <w:color w:val="222222"/>
          <w:sz w:val="24"/>
          <w:szCs w:val="24"/>
          <w:highlight w:val="white"/>
        </w:rPr>
        <w:t xml:space="preserve">has contributed toxic compounds to the lagoon through environmental negligence and mismanagement. </w:t>
      </w:r>
      <w:r w:rsidRPr="00310524">
        <w:rPr>
          <w:rFonts w:ascii="Times New Roman" w:eastAsia="Times New Roman" w:hAnsi="Times New Roman" w:cs="Times New Roman"/>
          <w:sz w:val="24"/>
          <w:szCs w:val="24"/>
        </w:rPr>
        <w:t xml:space="preserve">Following </w:t>
      </w:r>
      <w:proofErr w:type="spellStart"/>
      <w:r w:rsidRPr="00310524">
        <w:rPr>
          <w:rFonts w:ascii="Times New Roman" w:eastAsia="Times New Roman" w:hAnsi="Times New Roman" w:cs="Times New Roman"/>
          <w:sz w:val="24"/>
          <w:szCs w:val="24"/>
        </w:rPr>
        <w:t>Halaco’s</w:t>
      </w:r>
      <w:proofErr w:type="spellEnd"/>
      <w:r w:rsidRPr="00310524">
        <w:rPr>
          <w:rFonts w:ascii="Times New Roman" w:eastAsia="Times New Roman" w:hAnsi="Times New Roman" w:cs="Times New Roman"/>
          <w:sz w:val="24"/>
          <w:szCs w:val="24"/>
        </w:rPr>
        <w:t xml:space="preserve"> bankruptcy in 2006, the complex was designated a Superfund site, and although some risk of further damage has been mitigated, significant quantities of hazardous materials remain on the premises. </w:t>
      </w:r>
    </w:p>
    <w:p w14:paraId="29997FAF" w14:textId="77777777" w:rsidR="002B291F" w:rsidRPr="00310524" w:rsidRDefault="002B291F">
      <w:pPr>
        <w:rPr>
          <w:rFonts w:ascii="Times New Roman" w:eastAsia="Times New Roman" w:hAnsi="Times New Roman" w:cs="Times New Roman"/>
          <w:sz w:val="24"/>
          <w:szCs w:val="24"/>
        </w:rPr>
      </w:pPr>
    </w:p>
    <w:p w14:paraId="00C42CC0" w14:textId="77777777" w:rsidR="00170E20" w:rsidRPr="00310524" w:rsidRDefault="005D4F94">
      <w:pPr>
        <w:rPr>
          <w:rFonts w:ascii="Times New Roman" w:eastAsia="Times New Roman" w:hAnsi="Times New Roman" w:cs="Times New Roman"/>
          <w:sz w:val="24"/>
          <w:szCs w:val="24"/>
        </w:rPr>
      </w:pPr>
      <w:r w:rsidRPr="00310524">
        <w:rPr>
          <w:rFonts w:ascii="Times New Roman" w:hAnsi="Times New Roman" w:cs="Times New Roman"/>
          <w:noProof/>
        </w:rPr>
        <w:drawing>
          <wp:inline distT="114300" distB="114300" distL="114300" distR="114300" wp14:anchorId="10E2348D" wp14:editId="5106D0F9">
            <wp:extent cx="5943600" cy="5054600"/>
            <wp:effectExtent l="0" t="0" r="0" b="0"/>
            <wp:docPr id="7" name="image14.jpg" descr="Ormond Lagoon GEarthsmall.jpg"/>
            <wp:cNvGraphicFramePr/>
            <a:graphic xmlns:a="http://schemas.openxmlformats.org/drawingml/2006/main">
              <a:graphicData uri="http://schemas.openxmlformats.org/drawingml/2006/picture">
                <pic:pic xmlns:pic="http://schemas.openxmlformats.org/drawingml/2006/picture">
                  <pic:nvPicPr>
                    <pic:cNvPr id="0" name="image14.jpg" descr="Ormond Lagoon GEarthsmall.jpg"/>
                    <pic:cNvPicPr preferRelativeResize="0"/>
                  </pic:nvPicPr>
                  <pic:blipFill>
                    <a:blip r:embed="rId9"/>
                    <a:srcRect/>
                    <a:stretch>
                      <a:fillRect/>
                    </a:stretch>
                  </pic:blipFill>
                  <pic:spPr>
                    <a:xfrm>
                      <a:off x="0" y="0"/>
                      <a:ext cx="5943600" cy="5054600"/>
                    </a:xfrm>
                    <a:prstGeom prst="rect">
                      <a:avLst/>
                    </a:prstGeom>
                    <a:ln/>
                  </pic:spPr>
                </pic:pic>
              </a:graphicData>
            </a:graphic>
          </wp:inline>
        </w:drawing>
      </w:r>
    </w:p>
    <w:p w14:paraId="00F582DE" w14:textId="543CF704" w:rsidR="00170E20" w:rsidRPr="00310524" w:rsidRDefault="00D542AF">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2</w:t>
      </w:r>
      <w:r w:rsidR="005D4F94" w:rsidRPr="00310524">
        <w:rPr>
          <w:rFonts w:ascii="Times New Roman" w:eastAsia="Times New Roman" w:hAnsi="Times New Roman" w:cs="Times New Roman"/>
          <w:b/>
          <w:sz w:val="18"/>
          <w:szCs w:val="18"/>
        </w:rPr>
        <w:t xml:space="preserve">. Ormond Lagoon, California. </w:t>
      </w:r>
      <w:r w:rsidR="005D4F94" w:rsidRPr="00310524">
        <w:rPr>
          <w:rFonts w:ascii="Times New Roman" w:eastAsia="Times New Roman" w:hAnsi="Times New Roman" w:cs="Times New Roman"/>
          <w:sz w:val="18"/>
          <w:szCs w:val="18"/>
        </w:rPr>
        <w:t>Surrounding areas have been fully developed with Industry, agriculture, and residential land replacin</w:t>
      </w:r>
      <w:r>
        <w:rPr>
          <w:rFonts w:ascii="Times New Roman" w:eastAsia="Times New Roman" w:hAnsi="Times New Roman" w:cs="Times New Roman"/>
          <w:sz w:val="18"/>
          <w:szCs w:val="18"/>
        </w:rPr>
        <w:t>g historic marshes and wetlands</w:t>
      </w:r>
      <w:r w:rsidR="005D4F94" w:rsidRPr="00310524">
        <w:rPr>
          <w:rFonts w:ascii="Times New Roman" w:eastAsia="Times New Roman" w:hAnsi="Times New Roman" w:cs="Times New Roman"/>
          <w:sz w:val="18"/>
          <w:szCs w:val="18"/>
        </w:rPr>
        <w:t xml:space="preserve"> (Google Earth 2017)</w:t>
      </w:r>
      <w:r>
        <w:rPr>
          <w:rFonts w:ascii="Times New Roman" w:eastAsia="Times New Roman" w:hAnsi="Times New Roman" w:cs="Times New Roman"/>
          <w:sz w:val="18"/>
          <w:szCs w:val="18"/>
        </w:rPr>
        <w:t>.</w:t>
      </w:r>
    </w:p>
    <w:p w14:paraId="65AA2C34" w14:textId="77777777" w:rsidR="00170E20" w:rsidRPr="00310524" w:rsidRDefault="00170E20">
      <w:pPr>
        <w:spacing w:line="240" w:lineRule="auto"/>
        <w:ind w:left="1440"/>
        <w:rPr>
          <w:rFonts w:ascii="Times New Roman" w:eastAsia="Times New Roman" w:hAnsi="Times New Roman" w:cs="Times New Roman"/>
          <w:sz w:val="18"/>
          <w:szCs w:val="18"/>
        </w:rPr>
      </w:pPr>
    </w:p>
    <w:p w14:paraId="4C6EBD03" w14:textId="77777777" w:rsidR="00170E20" w:rsidRPr="00310524" w:rsidRDefault="00170E20">
      <w:pPr>
        <w:rPr>
          <w:rFonts w:ascii="Times New Roman" w:eastAsia="Times New Roman" w:hAnsi="Times New Roman" w:cs="Times New Roman"/>
          <w:sz w:val="24"/>
          <w:szCs w:val="24"/>
        </w:rPr>
      </w:pPr>
    </w:p>
    <w:p w14:paraId="4F55FFD2" w14:textId="77777777" w:rsidR="00170E20" w:rsidRPr="00310524" w:rsidRDefault="005D4F94">
      <w:pPr>
        <w:pStyle w:val="Heading3"/>
        <w:ind w:firstLine="720"/>
        <w:rPr>
          <w:rFonts w:ascii="Times New Roman" w:eastAsia="Times New Roman" w:hAnsi="Times New Roman" w:cs="Times New Roman"/>
          <w:i/>
        </w:rPr>
      </w:pPr>
      <w:proofErr w:type="spellStart"/>
      <w:r w:rsidRPr="00310524">
        <w:rPr>
          <w:rFonts w:ascii="Times New Roman" w:eastAsia="Times New Roman" w:hAnsi="Times New Roman" w:cs="Times New Roman"/>
          <w:i/>
        </w:rPr>
        <w:t>Halaco</w:t>
      </w:r>
      <w:proofErr w:type="spellEnd"/>
      <w:r w:rsidRPr="00310524">
        <w:rPr>
          <w:rFonts w:ascii="Times New Roman" w:eastAsia="Times New Roman" w:hAnsi="Times New Roman" w:cs="Times New Roman"/>
          <w:i/>
        </w:rPr>
        <w:t xml:space="preserve"> Superfund Site, Heavy Metal Contaminants</w:t>
      </w:r>
    </w:p>
    <w:p w14:paraId="3143EC10" w14:textId="77777777" w:rsidR="00170E20" w:rsidRPr="00310524" w:rsidRDefault="005D4F94">
      <w:pPr>
        <w:spacing w:line="240" w:lineRule="auto"/>
        <w:rPr>
          <w:rFonts w:ascii="Times New Roman" w:eastAsia="Times New Roman" w:hAnsi="Times New Roman" w:cs="Times New Roman"/>
          <w:sz w:val="24"/>
          <w:szCs w:val="24"/>
        </w:rPr>
      </w:pPr>
      <w:proofErr w:type="spellStart"/>
      <w:r w:rsidRPr="00310524">
        <w:rPr>
          <w:rFonts w:ascii="Times New Roman" w:eastAsia="Times New Roman" w:hAnsi="Times New Roman" w:cs="Times New Roman"/>
          <w:sz w:val="24"/>
          <w:szCs w:val="24"/>
        </w:rPr>
        <w:t>Halaco</w:t>
      </w:r>
      <w:proofErr w:type="spellEnd"/>
      <w:r w:rsidRPr="00310524">
        <w:rPr>
          <w:rFonts w:ascii="Times New Roman" w:eastAsia="Times New Roman" w:hAnsi="Times New Roman" w:cs="Times New Roman"/>
          <w:sz w:val="24"/>
          <w:szCs w:val="24"/>
        </w:rPr>
        <w:t xml:space="preserve"> operated a secondary scrap metal recovery facility from 1965-2004 encompassing over 11 acres of structures and 26 acres of waste deposition. Their processes recovered aluminum, magnesium, and zinc, from car parts, cans, castings, and other low grade scrap metal.  An EPA diagnostic reports confirms that,</w:t>
      </w:r>
    </w:p>
    <w:p w14:paraId="15C3F450" w14:textId="77777777" w:rsidR="00170E20" w:rsidRPr="00310524" w:rsidRDefault="005D4F94">
      <w:pPr>
        <w:spacing w:line="240" w:lineRule="auto"/>
        <w:ind w:left="720"/>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 xml:space="preserve"> “Most waste remains on-site, including more than 700,000 cubic yards in the waste management area and an estimated 50,000 cubic yards buried in the eastern side of the 11-acre area where the smelter operated. Contamination found on-site includes a combination of several metals and radionuclides, including aluminum, arsenic, barium, beryllium, cadmium, chromium, copper, lead, magnesium, manganese, nickel, silver, zinc, cesium-137, potassium-40, thorium-228, thorium-230, and thorium-232. Contaminated soils and sediments containing one or more of the same metals and radionuclides have also been found on adjacent properties, including wetlands and a public beach. Several areas also contain elevated levels of thorium and radium. Waste material has moved into the underlying groundwater and sediments in a portion of the Ormond Beach lagoon.” (EPA 2017) </w:t>
      </w:r>
    </w:p>
    <w:p w14:paraId="19805404"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The recovery of the Ormond Lagoon wetland ecosystem is dependent on the remediation of the </w:t>
      </w:r>
      <w:proofErr w:type="spellStart"/>
      <w:r w:rsidRPr="00310524">
        <w:rPr>
          <w:rFonts w:ascii="Times New Roman" w:eastAsia="Times New Roman" w:hAnsi="Times New Roman" w:cs="Times New Roman"/>
          <w:sz w:val="24"/>
          <w:szCs w:val="24"/>
        </w:rPr>
        <w:t>Halaco</w:t>
      </w:r>
      <w:proofErr w:type="spellEnd"/>
      <w:r w:rsidRPr="00310524">
        <w:rPr>
          <w:rFonts w:ascii="Times New Roman" w:eastAsia="Times New Roman" w:hAnsi="Times New Roman" w:cs="Times New Roman"/>
          <w:sz w:val="24"/>
          <w:szCs w:val="24"/>
        </w:rPr>
        <w:t xml:space="preserve"> site. Further cleanup of the Superfund site and adjacent contaminated properties is expected to be planned in 2017 or 2018 (EPA 2017).</w:t>
      </w:r>
    </w:p>
    <w:p w14:paraId="6B23E4B5" w14:textId="77777777" w:rsidR="00170E20" w:rsidRPr="00310524" w:rsidRDefault="00170E20">
      <w:pPr>
        <w:spacing w:line="240" w:lineRule="auto"/>
        <w:rPr>
          <w:rFonts w:ascii="Times New Roman" w:eastAsia="Times New Roman" w:hAnsi="Times New Roman" w:cs="Times New Roman"/>
          <w:sz w:val="24"/>
          <w:szCs w:val="24"/>
        </w:rPr>
      </w:pPr>
    </w:p>
    <w:p w14:paraId="5B09E9FD" w14:textId="77777777" w:rsidR="00170E20" w:rsidRPr="00310524" w:rsidRDefault="005D4F94">
      <w:pPr>
        <w:ind w:firstLine="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Fish Kill Events</w:t>
      </w:r>
    </w:p>
    <w:p w14:paraId="26628107"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Ormond Lagoon is partially fed by channelized drains such as the J-Street Drain, which receives agricultural, industrial, and residential runoff. Among the many pollutants carried by these drains are pyrethroids, a class of pesticides used for both agricultural and non-agricultural applications. The California Department of Fish and Wildlife has investigated multiple fish kill events related to a specific pyrethroid, bifenthrin. On July 20th 2015 U.S. Fish and Wildlife reported a fish kill in Port Hueneme’s J-Street Drain, which feeds directly into Ormond Lagoon. Although no tidewater gobies were found in the observations, this may be symptomatic of their small size, brown color, and lack of swim bladder. Included in their loss report is description of necropsy pathology, </w:t>
      </w:r>
    </w:p>
    <w:p w14:paraId="2BFCB586" w14:textId="77777777" w:rsidR="00170E20" w:rsidRPr="00310524" w:rsidRDefault="005D4F94">
      <w:pPr>
        <w:ind w:left="720"/>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“Bifenthrin was detected in each gill and liver sample. Bifenthrin is a synthetic pyrethroid insecticide with an LC50 of 0.35 ppb to bluegill sunfish (very highly toxic). While it is not possible to determine the concentration of bifenthrin in the water at the time of the fish kill, due to insufficient time for the contaminant to reach equilibrium in the fish and water, the presence of a very highly toxic material in both the gills and liver of fish that died acute death makes it very likely that this loss was caused by exposure to bifenthrin. The presence of 4 other pyrethroids in the gills of the sculpin is likely due to the persistence of pyrethroids in sediment and the sculpin being a benthic feeder.” (California Department of Fish and Wildlife, 2015)</w:t>
      </w:r>
    </w:p>
    <w:p w14:paraId="18CC9034" w14:textId="77777777" w:rsidR="00170E20" w:rsidRPr="00310524" w:rsidRDefault="005D4F94">
      <w:pPr>
        <w:rPr>
          <w:rFonts w:ascii="Times New Roman" w:eastAsia="Times New Roman" w:hAnsi="Times New Roman" w:cs="Times New Roman"/>
          <w:b/>
          <w:color w:val="222222"/>
          <w:sz w:val="24"/>
          <w:szCs w:val="24"/>
          <w:highlight w:val="white"/>
        </w:rPr>
      </w:pPr>
      <w:r w:rsidRPr="00310524">
        <w:rPr>
          <w:rFonts w:ascii="Times New Roman" w:eastAsia="Times New Roman" w:hAnsi="Times New Roman" w:cs="Times New Roman"/>
          <w:sz w:val="24"/>
          <w:szCs w:val="24"/>
        </w:rPr>
        <w:t xml:space="preserve">Similar events in the watershed occurred in the years following, with another major fish kill occurring in 2016 (Personal Communication, Jenny Marek). </w:t>
      </w:r>
    </w:p>
    <w:p w14:paraId="7AC4C90B" w14:textId="77777777" w:rsidR="00170E20" w:rsidRPr="00310524" w:rsidRDefault="00170E20">
      <w:pPr>
        <w:spacing w:line="240" w:lineRule="auto"/>
        <w:ind w:firstLine="720"/>
        <w:rPr>
          <w:rFonts w:ascii="Times New Roman" w:eastAsia="Times New Roman" w:hAnsi="Times New Roman" w:cs="Times New Roman"/>
          <w:b/>
          <w:sz w:val="24"/>
          <w:szCs w:val="24"/>
        </w:rPr>
      </w:pPr>
    </w:p>
    <w:p w14:paraId="6A61A700" w14:textId="77777777" w:rsidR="00170E20" w:rsidRPr="00310524" w:rsidRDefault="005D4F94">
      <w:pPr>
        <w:pStyle w:val="Heading2"/>
        <w:rPr>
          <w:rFonts w:ascii="Times New Roman" w:eastAsia="Times New Roman" w:hAnsi="Times New Roman" w:cs="Times New Roman"/>
        </w:rPr>
      </w:pPr>
      <w:bookmarkStart w:id="6" w:name="_3dy6vkm" w:colFirst="0" w:colLast="0"/>
      <w:bookmarkEnd w:id="6"/>
      <w:r w:rsidRPr="00310524">
        <w:rPr>
          <w:rFonts w:ascii="Times New Roman" w:eastAsia="Times New Roman" w:hAnsi="Times New Roman" w:cs="Times New Roman"/>
        </w:rPr>
        <w:t>Tidewater Goby</w:t>
      </w:r>
    </w:p>
    <w:p w14:paraId="3F509C84" w14:textId="77777777" w:rsidR="00170E20" w:rsidRPr="00310524" w:rsidRDefault="005D4F94">
      <w:pPr>
        <w:pStyle w:val="Heading3"/>
        <w:ind w:firstLine="720"/>
        <w:rPr>
          <w:rFonts w:ascii="Times New Roman" w:eastAsia="Times New Roman" w:hAnsi="Times New Roman" w:cs="Times New Roman"/>
          <w:i/>
        </w:rPr>
      </w:pPr>
      <w:r w:rsidRPr="00310524">
        <w:rPr>
          <w:rFonts w:ascii="Times New Roman" w:eastAsia="Times New Roman" w:hAnsi="Times New Roman" w:cs="Times New Roman"/>
          <w:i/>
        </w:rPr>
        <w:t>Overview</w:t>
      </w:r>
    </w:p>
    <w:p w14:paraId="129154EA"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The tidewater 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i/>
          <w:sz w:val="24"/>
          <w:szCs w:val="24"/>
        </w:rPr>
        <w:t xml:space="preserve"> and </w:t>
      </w:r>
      <w:proofErr w:type="spellStart"/>
      <w:r w:rsidRPr="00310524">
        <w:rPr>
          <w:rFonts w:ascii="Times New Roman" w:eastAsia="Times New Roman" w:hAnsi="Times New Roman" w:cs="Times New Roman"/>
          <w:i/>
          <w:sz w:val="24"/>
          <w:szCs w:val="24"/>
        </w:rPr>
        <w:t>Eucyclobius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kristinae</w:t>
      </w:r>
      <w:proofErr w:type="spellEnd"/>
      <w:r w:rsidRPr="00310524">
        <w:rPr>
          <w:rFonts w:ascii="Times New Roman" w:eastAsia="Times New Roman" w:hAnsi="Times New Roman" w:cs="Times New Roman"/>
          <w:sz w:val="24"/>
          <w:szCs w:val="24"/>
        </w:rPr>
        <w:t xml:space="preserve">) lives endemically along the coast of California. A typical tidewater goby has an elongated body with a length rarely exceeding 50 millimeters. (Miller and Lea 1972).  Adult fish are translucent or mostly </w:t>
      </w:r>
      <w:r w:rsidRPr="00310524">
        <w:rPr>
          <w:rFonts w:ascii="Times New Roman" w:eastAsia="Times New Roman" w:hAnsi="Times New Roman" w:cs="Times New Roman"/>
          <w:sz w:val="24"/>
          <w:szCs w:val="24"/>
        </w:rPr>
        <w:lastRenderedPageBreak/>
        <w:t xml:space="preserve">transparent, olive-brown with darker mottling (Miller and Lea 1972). The species shows narrow environmental preferences, mainly living in coastal lagoons, creeks, and marshes (Swenson 1999; Moyle 1976; Swift et al. 1989). Gobies feed on benthic invertebrates and burrow in the sand for spawning. The tidewater goby usually acts as the secondary consumer whose behavior may alter the population and structure of other organisms, especially their preys and predators. The species was listed as endangered in 1994 after a considerable decline in the population and the number of localities (USFWS 1994). Habitat loss or degradation, and pressure from introduced species threaten the survival of the tidewater goby. However, influences from other factors have also become more important recently. For example, water inflows to goby habitat may contain pesticides, which will settle and accumulate to toxic levels in benthic sediment. </w:t>
      </w:r>
    </w:p>
    <w:p w14:paraId="6C734A21" w14:textId="77777777" w:rsidR="00170E20" w:rsidRPr="00310524" w:rsidRDefault="00170E20">
      <w:pPr>
        <w:spacing w:line="240" w:lineRule="auto"/>
        <w:rPr>
          <w:rFonts w:ascii="Times New Roman" w:eastAsia="Times New Roman" w:hAnsi="Times New Roman" w:cs="Times New Roman"/>
          <w:sz w:val="24"/>
          <w:szCs w:val="24"/>
        </w:rPr>
      </w:pPr>
    </w:p>
    <w:p w14:paraId="1DEFCBE0" w14:textId="77777777" w:rsidR="00170E20" w:rsidRPr="00310524" w:rsidRDefault="005D4F94">
      <w:pPr>
        <w:pStyle w:val="Heading3"/>
        <w:ind w:firstLine="720"/>
        <w:rPr>
          <w:rFonts w:ascii="Times New Roman" w:eastAsia="Times New Roman" w:hAnsi="Times New Roman" w:cs="Times New Roman"/>
          <w:i/>
        </w:rPr>
      </w:pPr>
      <w:r w:rsidRPr="00310524">
        <w:rPr>
          <w:rFonts w:ascii="Times New Roman" w:eastAsia="Times New Roman" w:hAnsi="Times New Roman" w:cs="Times New Roman"/>
          <w:i/>
        </w:rPr>
        <w:t>Distribution and Habitat</w:t>
      </w:r>
    </w:p>
    <w:p w14:paraId="136D1BD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The tidewater goby is distributed along California’s coastal lagoons, creeks, and marshes. (Swenson 1999; Moyle 1976; Swift et al. 1989). It has long been defined as species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sz w:val="24"/>
          <w:szCs w:val="24"/>
        </w:rPr>
        <w:t xml:space="preserve"> under genus</w:t>
      </w:r>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sz w:val="24"/>
          <w:szCs w:val="24"/>
        </w:rPr>
        <w:t>. A recent study has shown tidewater gobies in the southern localities should be isolated from northern populations in taxonomy.</w:t>
      </w:r>
    </w:p>
    <w:p w14:paraId="5BD16A7B"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This new southern species is determined as </w:t>
      </w:r>
      <w:proofErr w:type="spellStart"/>
      <w:r w:rsidRPr="00310524">
        <w:rPr>
          <w:rFonts w:ascii="Times New Roman" w:eastAsia="Times New Roman" w:hAnsi="Times New Roman" w:cs="Times New Roman"/>
          <w:i/>
          <w:sz w:val="24"/>
          <w:szCs w:val="24"/>
        </w:rPr>
        <w:t>Eucyclobius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kristinae</w:t>
      </w:r>
      <w:proofErr w:type="spellEnd"/>
      <w:r w:rsidRPr="00310524">
        <w:rPr>
          <w:rFonts w:ascii="Times New Roman" w:eastAsia="Times New Roman" w:hAnsi="Times New Roman" w:cs="Times New Roman"/>
          <w:sz w:val="24"/>
          <w:szCs w:val="24"/>
        </w:rPr>
        <w:t xml:space="preserve"> (Swift et al. 2016). The use of “tidewater goby” in this project covers research on both the Northern tidewater goby and Southern tidewater goby. The distribution of the two species “ranges from the </w:t>
      </w:r>
      <w:proofErr w:type="spellStart"/>
      <w:r w:rsidRPr="00310524">
        <w:rPr>
          <w:rFonts w:ascii="Times New Roman" w:eastAsia="Times New Roman" w:hAnsi="Times New Roman" w:cs="Times New Roman"/>
          <w:sz w:val="24"/>
          <w:szCs w:val="24"/>
        </w:rPr>
        <w:t>Tillas</w:t>
      </w:r>
      <w:proofErr w:type="spellEnd"/>
      <w:r w:rsidRPr="00310524">
        <w:rPr>
          <w:rFonts w:ascii="Times New Roman" w:eastAsia="Times New Roman" w:hAnsi="Times New Roman" w:cs="Times New Roman"/>
          <w:sz w:val="24"/>
          <w:szCs w:val="24"/>
        </w:rPr>
        <w:t xml:space="preserve"> Slough (mouth of the Smith River, Del Norte county) near the Oregon border to Agua </w:t>
      </w:r>
      <w:proofErr w:type="spellStart"/>
      <w:r w:rsidRPr="00310524">
        <w:rPr>
          <w:rFonts w:ascii="Times New Roman" w:eastAsia="Times New Roman" w:hAnsi="Times New Roman" w:cs="Times New Roman"/>
          <w:sz w:val="24"/>
          <w:szCs w:val="24"/>
        </w:rPr>
        <w:t>Hedionda</w:t>
      </w:r>
      <w:proofErr w:type="spellEnd"/>
      <w:r w:rsidRPr="00310524">
        <w:rPr>
          <w:rFonts w:ascii="Times New Roman" w:eastAsia="Times New Roman" w:hAnsi="Times New Roman" w:cs="Times New Roman"/>
          <w:sz w:val="24"/>
          <w:szCs w:val="24"/>
        </w:rPr>
        <w:t xml:space="preserve"> Lagoon (northern San Diego County)” (USFWS 2005).</w:t>
      </w:r>
    </w:p>
    <w:p w14:paraId="0BEEE20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6662DFB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Habitats of tidewater gobies are confined to major stream drainages where the topographic and hydrological features are conducive to the formation of sandy beaches (USFWS 2005). No populations have been found in streams without lagoons or estuaries present, while populations in marshes were observed to have larger size (Swenson 1996). The species can tolerate a relatively wide range of salinity and temperature. However, most of tidewater goby live in water with a salinity of 12 parts per thousand or less (Swenson 1999).</w:t>
      </w:r>
    </w:p>
    <w:p w14:paraId="7A2E5FC0" w14:textId="77777777" w:rsidR="00170E20" w:rsidRPr="00310524" w:rsidRDefault="00170E20">
      <w:pPr>
        <w:rPr>
          <w:rFonts w:ascii="Times New Roman" w:eastAsia="Times New Roman" w:hAnsi="Times New Roman" w:cs="Times New Roman"/>
          <w:sz w:val="24"/>
          <w:szCs w:val="24"/>
        </w:rPr>
      </w:pPr>
    </w:p>
    <w:p w14:paraId="601C3FE2" w14:textId="77777777" w:rsidR="00170E20" w:rsidRPr="00310524" w:rsidRDefault="005D4F94">
      <w:pPr>
        <w:spacing w:line="240" w:lineRule="auto"/>
        <w:ind w:firstLine="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Life History</w:t>
      </w:r>
    </w:p>
    <w:p w14:paraId="36CBBA1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The life pattern of tidewater gobies is shaped by the annual or seasonal activities of their habitats (Swift et al. 1989; Swenson 1995; Swenson 1999). Generally, they migrate about 1 kilometer away from their living estuaries or lagoons into the upstream tributaries although some researchers have also found they could migrate 5 to 8 km away (Irwin and </w:t>
      </w:r>
      <w:proofErr w:type="spellStart"/>
      <w:r w:rsidRPr="00310524">
        <w:rPr>
          <w:rFonts w:ascii="Times New Roman" w:eastAsia="Times New Roman" w:hAnsi="Times New Roman" w:cs="Times New Roman"/>
          <w:sz w:val="24"/>
          <w:szCs w:val="24"/>
        </w:rPr>
        <w:t>Soltz</w:t>
      </w:r>
      <w:proofErr w:type="spellEnd"/>
      <w:r w:rsidRPr="00310524">
        <w:rPr>
          <w:rFonts w:ascii="Times New Roman" w:eastAsia="Times New Roman" w:hAnsi="Times New Roman" w:cs="Times New Roman"/>
          <w:sz w:val="24"/>
          <w:szCs w:val="24"/>
        </w:rPr>
        <w:t xml:space="preserve"> 1984). The migration of half-grown to adult gobies occurs in summer and fall (USFWS 2005). Researchers have proved this migration is closely related to reproduction.</w:t>
      </w:r>
    </w:p>
    <w:p w14:paraId="40AFAB6C"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2E50339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The sexual behavior of the tidewater goby is unique among animals in nature as competition on mating happens among females rather than males (Swenson 1999). This reversed sex-role makes the tidewater goby serve as an ideal material to investigate the sexual selection. The reproduction of the tidewater goby can happen all year around. However, two peaks of spawning happen in </w:t>
      </w:r>
      <w:r w:rsidRPr="00310524">
        <w:rPr>
          <w:rFonts w:ascii="Times New Roman" w:eastAsia="Times New Roman" w:hAnsi="Times New Roman" w:cs="Times New Roman"/>
          <w:sz w:val="24"/>
          <w:szCs w:val="24"/>
        </w:rPr>
        <w:lastRenderedPageBreak/>
        <w:t>the spring and the late summer</w:t>
      </w:r>
      <w:r w:rsidRPr="00310524">
        <w:rPr>
          <w:rFonts w:ascii="Times New Roman" w:eastAsia="Times New Roman" w:hAnsi="Times New Roman" w:cs="Times New Roman"/>
        </w:rPr>
        <w:t xml:space="preserve"> (</w:t>
      </w:r>
      <w:r w:rsidRPr="00310524">
        <w:rPr>
          <w:rFonts w:ascii="Times New Roman" w:eastAsia="Times New Roman" w:hAnsi="Times New Roman" w:cs="Times New Roman"/>
          <w:sz w:val="24"/>
          <w:szCs w:val="24"/>
        </w:rPr>
        <w:t>Swift et al. 1989). Suitable water temperature for reproduction is from 9 to 25</w:t>
      </w:r>
      <w:r w:rsidRPr="00310524">
        <w:rPr>
          <w:rFonts w:ascii="MS Mincho" w:eastAsia="MS Mincho" w:hAnsi="MS Mincho" w:cs="MS Mincho"/>
          <w:sz w:val="24"/>
          <w:szCs w:val="24"/>
        </w:rPr>
        <w:t>℃</w:t>
      </w:r>
      <w:r w:rsidRPr="00310524">
        <w:rPr>
          <w:rFonts w:ascii="Times New Roman" w:eastAsia="Times New Roman" w:hAnsi="Times New Roman" w:cs="Times New Roman"/>
          <w:sz w:val="24"/>
          <w:szCs w:val="24"/>
        </w:rPr>
        <w:t xml:space="preserve">, which limits the occurrence of reproduction during the colder winter months. </w:t>
      </w:r>
    </w:p>
    <w:p w14:paraId="55D8DEA8"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7BE2BDF3"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During spawning seasons, male tidewater gobies first dig burrows on the substrates for breeding. The Ideal substrate is clean coarse sand with a diameter of about 0.5 millimeter (Swift et al. 1989). Distance between two burrows is at least 70 to 100 mm (Swenson 1995). Male gobies will stay in the breeding burrows while female tidewater gobies compete exclusively to mate with males and lay eggs in the breeding burrows (Swenson 1999). The size of female gobies positively </w:t>
      </w:r>
      <w:r w:rsidR="00BB650B" w:rsidRPr="00310524">
        <w:rPr>
          <w:rFonts w:ascii="Times New Roman" w:eastAsia="Times New Roman" w:hAnsi="Times New Roman" w:cs="Times New Roman"/>
          <w:sz w:val="24"/>
          <w:szCs w:val="24"/>
        </w:rPr>
        <w:t>influences</w:t>
      </w:r>
      <w:r w:rsidRPr="00310524">
        <w:rPr>
          <w:rFonts w:ascii="Times New Roman" w:eastAsia="Times New Roman" w:hAnsi="Times New Roman" w:cs="Times New Roman"/>
          <w:sz w:val="24"/>
          <w:szCs w:val="24"/>
        </w:rPr>
        <w:t xml:space="preserve"> the amount of eggs per clutch (Swift et al. 1989). Generally, female tidewater gobies lay 300 to 500 per clutch and 6 to 12 clutches each year (Swift et al. 1989;</w:t>
      </w:r>
      <w:r w:rsidRPr="00310524">
        <w:rPr>
          <w:rFonts w:ascii="Times New Roman" w:eastAsia="Times New Roman" w:hAnsi="Times New Roman" w:cs="Times New Roman"/>
          <w:color w:val="FF0000"/>
          <w:sz w:val="24"/>
          <w:szCs w:val="24"/>
        </w:rPr>
        <w:t xml:space="preserve"> </w:t>
      </w:r>
      <w:r w:rsidRPr="00310524">
        <w:rPr>
          <w:rFonts w:ascii="Times New Roman" w:eastAsia="Times New Roman" w:hAnsi="Times New Roman" w:cs="Times New Roman"/>
          <w:sz w:val="24"/>
          <w:szCs w:val="24"/>
        </w:rPr>
        <w:t>Swenson 1999). Typically, those egg clutches stick on to the burrow walls around 2.5 centimeters deep (Swenson 1999). On average, eggs take 9 to 11 days to hatch, during which time the male gobies are responsible for guarding and caring for the egg clutches.</w:t>
      </w:r>
    </w:p>
    <w:p w14:paraId="449E1B33"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00863A3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Hatchling gobies are approximately 4 to 5 mm. They are planktonic for 1 to 3 days, after which they begin a benthic life as adult gobies at a length of 16 to 18 mm (Swenson 1999). The juvenile tidewater goby usually reaches sexual maturity at about 27 mm (Swift et al. 1989). The lifespan of tidewater gobies is barely over one year (Moyle 2002) and the size is usually less than 50 mm. Researchers have found gobies collected in marsh habitats have larger sizes and can also live longer, compared to lagoons or creeks. (Swenson 1995; Swenson 1999). One of the probable causes for the higher growth in marshes is the stable conditions with less disturbance from winds and currents. Also, marsh ecosystems have plenty of food sources which promote the growth of tidewater gobies (Swenson 1999). </w:t>
      </w:r>
    </w:p>
    <w:p w14:paraId="387301E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2F1DCDAC"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The diet of the tidewater goby consists of various benthic invertebrates. Optimal choices include ostracods, </w:t>
      </w:r>
      <w:proofErr w:type="spellStart"/>
      <w:r w:rsidRPr="00310524">
        <w:rPr>
          <w:rFonts w:ascii="Times New Roman" w:eastAsia="Times New Roman" w:hAnsi="Times New Roman" w:cs="Times New Roman"/>
          <w:sz w:val="24"/>
          <w:szCs w:val="24"/>
        </w:rPr>
        <w:t>chironomid</w:t>
      </w:r>
      <w:proofErr w:type="spellEnd"/>
      <w:r w:rsidRPr="00310524">
        <w:rPr>
          <w:rFonts w:ascii="Times New Roman" w:eastAsia="Times New Roman" w:hAnsi="Times New Roman" w:cs="Times New Roman"/>
          <w:sz w:val="24"/>
          <w:szCs w:val="24"/>
        </w:rPr>
        <w:t xml:space="preserve"> larvae, and the </w:t>
      </w:r>
      <w:proofErr w:type="spellStart"/>
      <w:r w:rsidRPr="00310524">
        <w:rPr>
          <w:rFonts w:ascii="Times New Roman" w:eastAsia="Times New Roman" w:hAnsi="Times New Roman" w:cs="Times New Roman"/>
          <w:sz w:val="24"/>
          <w:szCs w:val="24"/>
        </w:rPr>
        <w:t>gammarid</w:t>
      </w:r>
      <w:proofErr w:type="spellEnd"/>
      <w:r w:rsidRPr="00310524">
        <w:rPr>
          <w:rFonts w:ascii="Times New Roman" w:eastAsia="Times New Roman" w:hAnsi="Times New Roman" w:cs="Times New Roman"/>
          <w:sz w:val="24"/>
          <w:szCs w:val="24"/>
        </w:rPr>
        <w:t xml:space="preserve"> amphipod </w:t>
      </w:r>
      <w:proofErr w:type="spellStart"/>
      <w:r w:rsidRPr="00310524">
        <w:rPr>
          <w:rFonts w:ascii="Times New Roman" w:eastAsia="Times New Roman" w:hAnsi="Times New Roman" w:cs="Times New Roman"/>
          <w:i/>
          <w:sz w:val="24"/>
          <w:szCs w:val="24"/>
        </w:rPr>
        <w:t>Corophium</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spinicorne</w:t>
      </w:r>
      <w:proofErr w:type="spellEnd"/>
      <w:r w:rsidRPr="00310524">
        <w:rPr>
          <w:rFonts w:ascii="Times New Roman" w:eastAsia="Times New Roman" w:hAnsi="Times New Roman" w:cs="Times New Roman"/>
          <w:sz w:val="24"/>
          <w:szCs w:val="24"/>
        </w:rPr>
        <w:t xml:space="preserve">. Other preys include </w:t>
      </w:r>
      <w:proofErr w:type="spellStart"/>
      <w:r w:rsidRPr="00310524">
        <w:rPr>
          <w:rFonts w:ascii="Times New Roman" w:eastAsia="Times New Roman" w:hAnsi="Times New Roman" w:cs="Times New Roman"/>
          <w:sz w:val="24"/>
          <w:szCs w:val="24"/>
        </w:rPr>
        <w:t>polychaetes</w:t>
      </w:r>
      <w:proofErr w:type="spellEnd"/>
      <w:r w:rsidRPr="00310524">
        <w:rPr>
          <w:rFonts w:ascii="Times New Roman" w:eastAsia="Times New Roman" w:hAnsi="Times New Roman" w:cs="Times New Roman"/>
          <w:sz w:val="24"/>
          <w:szCs w:val="24"/>
        </w:rPr>
        <w:t xml:space="preserve">, oligochaetes, isopods, the </w:t>
      </w:r>
      <w:proofErr w:type="spellStart"/>
      <w:r w:rsidRPr="00310524">
        <w:rPr>
          <w:rFonts w:ascii="Times New Roman" w:eastAsia="Times New Roman" w:hAnsi="Times New Roman" w:cs="Times New Roman"/>
          <w:sz w:val="24"/>
          <w:szCs w:val="24"/>
        </w:rPr>
        <w:t>gammarid</w:t>
      </w:r>
      <w:proofErr w:type="spellEnd"/>
      <w:r w:rsidRPr="00310524">
        <w:rPr>
          <w:rFonts w:ascii="Times New Roman" w:eastAsia="Times New Roman" w:hAnsi="Times New Roman" w:cs="Times New Roman"/>
          <w:sz w:val="24"/>
          <w:szCs w:val="24"/>
        </w:rPr>
        <w:t xml:space="preserve"> amphipod </w:t>
      </w:r>
      <w:proofErr w:type="spellStart"/>
      <w:r w:rsidRPr="00310524">
        <w:rPr>
          <w:rFonts w:ascii="Times New Roman" w:eastAsia="Times New Roman" w:hAnsi="Times New Roman" w:cs="Times New Roman"/>
          <w:i/>
          <w:sz w:val="24"/>
          <w:szCs w:val="24"/>
        </w:rPr>
        <w:t>Eogammarus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ramellus</w:t>
      </w:r>
      <w:proofErr w:type="spellEnd"/>
      <w:r w:rsidRPr="00310524">
        <w:rPr>
          <w:rFonts w:ascii="Times New Roman" w:eastAsia="Times New Roman" w:hAnsi="Times New Roman" w:cs="Times New Roman"/>
          <w:sz w:val="24"/>
          <w:szCs w:val="24"/>
        </w:rPr>
        <w:t>, copepods, mysids, and invertebrate eggs (Swenson 1996). The diet of tidewater gobies may have both temporal and</w:t>
      </w:r>
      <w:r w:rsidRPr="00310524">
        <w:rPr>
          <w:rFonts w:ascii="Times New Roman" w:eastAsia="Times New Roman" w:hAnsi="Times New Roman" w:cs="Times New Roman"/>
        </w:rPr>
        <w:t xml:space="preserve"> </w:t>
      </w:r>
      <w:r w:rsidRPr="00310524">
        <w:rPr>
          <w:rFonts w:ascii="Times New Roman" w:eastAsia="Times New Roman" w:hAnsi="Times New Roman" w:cs="Times New Roman"/>
          <w:sz w:val="24"/>
          <w:szCs w:val="24"/>
        </w:rPr>
        <w:t xml:space="preserve">spatial variations depending on the seasonality of the different invertebrates. </w:t>
      </w:r>
    </w:p>
    <w:p w14:paraId="256805FE" w14:textId="77777777" w:rsidR="00170E20" w:rsidRPr="00310524" w:rsidRDefault="00170E20">
      <w:pPr>
        <w:rPr>
          <w:rFonts w:ascii="Times New Roman" w:eastAsia="Times New Roman" w:hAnsi="Times New Roman" w:cs="Times New Roman"/>
          <w:sz w:val="24"/>
          <w:szCs w:val="24"/>
        </w:rPr>
      </w:pPr>
    </w:p>
    <w:p w14:paraId="22BAB831"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Types of Habitats can also influence the diet. Tidewater gobies from marshes may include invertebrate eggs in their diet while gobies from lagoons and creeks may not (Swenson 1996). There is a significant diet overlap between juveniles and adults, which suggests an intense intraspecific competition when food is scarce (</w:t>
      </w:r>
      <w:proofErr w:type="spellStart"/>
      <w:r w:rsidRPr="00310524">
        <w:rPr>
          <w:rFonts w:ascii="Times New Roman" w:eastAsia="Times New Roman" w:hAnsi="Times New Roman" w:cs="Times New Roman"/>
          <w:sz w:val="24"/>
          <w:szCs w:val="24"/>
        </w:rPr>
        <w:t>Magnhagen</w:t>
      </w:r>
      <w:proofErr w:type="spellEnd"/>
      <w:r w:rsidRPr="00310524">
        <w:rPr>
          <w:rFonts w:ascii="Times New Roman" w:eastAsia="Times New Roman" w:hAnsi="Times New Roman" w:cs="Times New Roman"/>
          <w:sz w:val="24"/>
          <w:szCs w:val="24"/>
        </w:rPr>
        <w:t xml:space="preserve"> and </w:t>
      </w:r>
      <w:proofErr w:type="spellStart"/>
      <w:r w:rsidRPr="00310524">
        <w:rPr>
          <w:rFonts w:ascii="Times New Roman" w:eastAsia="Times New Roman" w:hAnsi="Times New Roman" w:cs="Times New Roman"/>
          <w:sz w:val="24"/>
          <w:szCs w:val="24"/>
        </w:rPr>
        <w:t>Wiederholm</w:t>
      </w:r>
      <w:proofErr w:type="spellEnd"/>
      <w:r w:rsidRPr="00310524">
        <w:rPr>
          <w:rFonts w:ascii="Times New Roman" w:eastAsia="Times New Roman" w:hAnsi="Times New Roman" w:cs="Times New Roman"/>
          <w:sz w:val="24"/>
          <w:szCs w:val="24"/>
        </w:rPr>
        <w:t xml:space="preserve"> 1982). High dietary overlap has also been observed between the tidewater goby and other small fishes, such as yellowfin goby and </w:t>
      </w:r>
      <w:proofErr w:type="spellStart"/>
      <w:r w:rsidRPr="00310524">
        <w:rPr>
          <w:rFonts w:ascii="Times New Roman" w:eastAsia="Times New Roman" w:hAnsi="Times New Roman" w:cs="Times New Roman"/>
          <w:sz w:val="24"/>
          <w:szCs w:val="24"/>
        </w:rPr>
        <w:t>shimofuri</w:t>
      </w:r>
      <w:proofErr w:type="spellEnd"/>
      <w:r w:rsidRPr="00310524">
        <w:rPr>
          <w:rFonts w:ascii="Times New Roman" w:eastAsia="Times New Roman" w:hAnsi="Times New Roman" w:cs="Times New Roman"/>
          <w:sz w:val="24"/>
          <w:szCs w:val="24"/>
        </w:rPr>
        <w:t xml:space="preserve"> goby (Kikuchi and Yamashita 1992).</w:t>
      </w:r>
    </w:p>
    <w:p w14:paraId="7038FE4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557EBDE8"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Tidewater gobies are not strict day or night feeders, although adult gobies prefer to feed at night while juveniles show no preferences (Swenson 1996). As for the feeding behaviors, researchers have observed following three methods of foraging: sifting sediment for prey in their mouth, </w:t>
      </w:r>
      <w:r w:rsidRPr="00310524">
        <w:rPr>
          <w:rFonts w:ascii="Times New Roman" w:eastAsia="Times New Roman" w:hAnsi="Times New Roman" w:cs="Times New Roman"/>
          <w:sz w:val="24"/>
          <w:szCs w:val="24"/>
        </w:rPr>
        <w:lastRenderedPageBreak/>
        <w:t xml:space="preserve">swimming to capture preys in mid-water, or biting prey at the substrate surface. Sifting sediment is a common way of feeding when no preys are clearly visible at the substrate surface. Gobies will first fill their mouths with sediments and filter them out through gill </w:t>
      </w:r>
      <w:proofErr w:type="spellStart"/>
      <w:r w:rsidRPr="00310524">
        <w:rPr>
          <w:rFonts w:ascii="Times New Roman" w:eastAsia="Times New Roman" w:hAnsi="Times New Roman" w:cs="Times New Roman"/>
          <w:sz w:val="24"/>
          <w:szCs w:val="24"/>
        </w:rPr>
        <w:t>rakers</w:t>
      </w:r>
      <w:proofErr w:type="spellEnd"/>
      <w:r w:rsidRPr="00310524">
        <w:rPr>
          <w:rFonts w:ascii="Times New Roman" w:eastAsia="Times New Roman" w:hAnsi="Times New Roman" w:cs="Times New Roman"/>
          <w:sz w:val="24"/>
          <w:szCs w:val="24"/>
        </w:rPr>
        <w:t xml:space="preserve"> (Swenson 1996). </w:t>
      </w:r>
    </w:p>
    <w:p w14:paraId="7A485368" w14:textId="77777777" w:rsidR="00170E20" w:rsidRPr="00310524" w:rsidRDefault="00170E20">
      <w:pPr>
        <w:spacing w:line="240" w:lineRule="auto"/>
        <w:rPr>
          <w:rFonts w:ascii="Times New Roman" w:eastAsia="Times New Roman" w:hAnsi="Times New Roman" w:cs="Times New Roman"/>
          <w:sz w:val="24"/>
          <w:szCs w:val="24"/>
        </w:rPr>
      </w:pPr>
    </w:p>
    <w:p w14:paraId="43B4ACB9" w14:textId="77777777" w:rsidR="00170E20" w:rsidRPr="00310524" w:rsidRDefault="005D4F94">
      <w:pPr>
        <w:spacing w:line="240" w:lineRule="auto"/>
        <w:ind w:firstLine="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Estimation of Population</w:t>
      </w:r>
    </w:p>
    <w:p w14:paraId="05531D7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Due to the wide range of variation in environmental conditions, it is hard to trace the population dynamics of the tidewater goby. It is normal to observe a decrease in the population when climate changes (e.g. El Niño) but a recover in the following year. The estimation of population size largely depends on the time and locations of sampling with different environmental factors. Tidewater gobies tend to extirpate and colonize habitats with some frequency following large storms that flush them out of their immediate habitat. But in general, the peaks and valleys of the population size occur in late summer-early fall and in winter, respectively (Lafferty et al. 1999a). Since directly acquiring the population size is difficult, scientists have developed some indirect methods by combining the number of tidewater goby localities and their frequency in each locality to estimate the population size (USFWS 2005).</w:t>
      </w:r>
    </w:p>
    <w:p w14:paraId="609CF833"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00EAA44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After listing the tidewater goby as federally endangered species in 1994, USFWS implemented a Recovery Plan to ensure the sustainability of the species. Currently, USFWS is considering the </w:t>
      </w:r>
      <w:proofErr w:type="spellStart"/>
      <w:r w:rsidRPr="00310524">
        <w:rPr>
          <w:rFonts w:ascii="Times New Roman" w:eastAsia="Times New Roman" w:hAnsi="Times New Roman" w:cs="Times New Roman"/>
          <w:sz w:val="24"/>
          <w:szCs w:val="24"/>
        </w:rPr>
        <w:t>downlisting</w:t>
      </w:r>
      <w:proofErr w:type="spellEnd"/>
      <w:r w:rsidRPr="00310524">
        <w:rPr>
          <w:rFonts w:ascii="Times New Roman" w:eastAsia="Times New Roman" w:hAnsi="Times New Roman" w:cs="Times New Roman"/>
          <w:sz w:val="24"/>
          <w:szCs w:val="24"/>
        </w:rPr>
        <w:t xml:space="preserve"> of the tidewater goby from “endangered” to “threatened”. To meet the requirement of </w:t>
      </w:r>
      <w:proofErr w:type="spellStart"/>
      <w:r w:rsidRPr="00310524">
        <w:rPr>
          <w:rFonts w:ascii="Times New Roman" w:eastAsia="Times New Roman" w:hAnsi="Times New Roman" w:cs="Times New Roman"/>
          <w:sz w:val="24"/>
          <w:szCs w:val="24"/>
        </w:rPr>
        <w:t>downlisting</w:t>
      </w:r>
      <w:proofErr w:type="spellEnd"/>
      <w:r w:rsidRPr="00310524">
        <w:rPr>
          <w:rFonts w:ascii="Times New Roman" w:eastAsia="Times New Roman" w:hAnsi="Times New Roman" w:cs="Times New Roman"/>
          <w:sz w:val="24"/>
          <w:szCs w:val="24"/>
        </w:rPr>
        <w:t xml:space="preserve">, metapopulations of tidewater gobies within each recovery unit must be predicted to have at least 75% probability of persisting in no less than 100 years. Therefore, an overall assessment of goby population status is essential to promote </w:t>
      </w:r>
      <w:proofErr w:type="spellStart"/>
      <w:r w:rsidRPr="00310524">
        <w:rPr>
          <w:rFonts w:ascii="Times New Roman" w:eastAsia="Times New Roman" w:hAnsi="Times New Roman" w:cs="Times New Roman"/>
          <w:sz w:val="24"/>
          <w:szCs w:val="24"/>
        </w:rPr>
        <w:t>downlisting</w:t>
      </w:r>
      <w:proofErr w:type="spellEnd"/>
      <w:r w:rsidRPr="00310524">
        <w:rPr>
          <w:rFonts w:ascii="Times New Roman" w:eastAsia="Times New Roman" w:hAnsi="Times New Roman" w:cs="Times New Roman"/>
          <w:sz w:val="24"/>
          <w:szCs w:val="24"/>
        </w:rPr>
        <w:t xml:space="preserve"> of the species. Researchers from UCLA have adopted a metapopulation viability analysis (MVA) model to assess tidewater goby population viability. Based on observed data (presence or absence of gobies in a region) and habitat characteristics (e.g. size, climate, water quality), the model will help predict patterns of extinction and colonization of a metapopulation.</w:t>
      </w:r>
    </w:p>
    <w:p w14:paraId="44AE0DC4" w14:textId="77777777" w:rsidR="00170E20" w:rsidRPr="00310524" w:rsidRDefault="00170E20">
      <w:pPr>
        <w:spacing w:line="240" w:lineRule="auto"/>
        <w:rPr>
          <w:rFonts w:ascii="Times New Roman" w:eastAsia="Times New Roman" w:hAnsi="Times New Roman" w:cs="Times New Roman"/>
          <w:sz w:val="24"/>
          <w:szCs w:val="24"/>
        </w:rPr>
      </w:pPr>
    </w:p>
    <w:p w14:paraId="6452F257" w14:textId="77777777" w:rsidR="00170E20" w:rsidRPr="00310524" w:rsidRDefault="005D4F94">
      <w:pPr>
        <w:spacing w:line="240" w:lineRule="auto"/>
        <w:ind w:firstLine="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Survival Stress</w:t>
      </w:r>
    </w:p>
    <w:p w14:paraId="5D27EC9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Current threats to the survival of the tidewater goby include habitat loss, changes of environmental properties, disease, predation, or competition from exotic species, and exploitation on the tidewater gobies. Due to the development along the coastal areas, direct loss and modification of habitats is the main cause of the decline in the population. Many favorable habitats have been drained for residential areas or faculties (USFWS 1994). Although some development projects did not destroy or reclaim the land of habitats directly, they have changed hydrological regimes or water quality (e.g. alter temperature or salinity), leaving the land unlivable for tidewater gobies (USFWS 2005).</w:t>
      </w:r>
    </w:p>
    <w:p w14:paraId="5FAD2A49"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113C17E7"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Declines of the tidewater goby also stem from the introduction of invasive species (Swenson 1999). Tidewater gobies have a diet overlap with two invaded gobies species, yellowfin goby and </w:t>
      </w:r>
      <w:proofErr w:type="spellStart"/>
      <w:r w:rsidRPr="00310524">
        <w:rPr>
          <w:rFonts w:ascii="Times New Roman" w:eastAsia="Times New Roman" w:hAnsi="Times New Roman" w:cs="Times New Roman"/>
          <w:sz w:val="24"/>
          <w:szCs w:val="24"/>
        </w:rPr>
        <w:t>shimofuri</w:t>
      </w:r>
      <w:proofErr w:type="spellEnd"/>
      <w:r w:rsidRPr="00310524">
        <w:rPr>
          <w:rFonts w:ascii="Times New Roman" w:eastAsia="Times New Roman" w:hAnsi="Times New Roman" w:cs="Times New Roman"/>
          <w:sz w:val="24"/>
          <w:szCs w:val="24"/>
        </w:rPr>
        <w:t xml:space="preserve"> goby (Swenson 1999). Pressure from larger brackish or freshwater fishes is even more serious. Various localities of the tidewater goby have suffered from different nonnative </w:t>
      </w:r>
      <w:r w:rsidRPr="00310524">
        <w:rPr>
          <w:rFonts w:ascii="Times New Roman" w:eastAsia="Times New Roman" w:hAnsi="Times New Roman" w:cs="Times New Roman"/>
          <w:sz w:val="24"/>
          <w:szCs w:val="24"/>
        </w:rPr>
        <w:lastRenderedPageBreak/>
        <w:t xml:space="preserve">predators. For example, striped bass </w:t>
      </w:r>
      <w:r w:rsidRPr="00310524">
        <w:rPr>
          <w:rFonts w:ascii="Times New Roman" w:eastAsia="Roboto" w:hAnsi="Times New Roman" w:cs="Times New Roman"/>
        </w:rPr>
        <w:t>(</w:t>
      </w:r>
      <w:proofErr w:type="spellStart"/>
      <w:r w:rsidRPr="00310524">
        <w:rPr>
          <w:rFonts w:ascii="Times New Roman" w:eastAsia="Roboto" w:hAnsi="Times New Roman" w:cs="Times New Roman"/>
          <w:i/>
        </w:rPr>
        <w:t>Morone</w:t>
      </w:r>
      <w:proofErr w:type="spellEnd"/>
      <w:r w:rsidRPr="00310524">
        <w:rPr>
          <w:rFonts w:ascii="Times New Roman" w:eastAsia="Roboto" w:hAnsi="Times New Roman" w:cs="Times New Roman"/>
          <w:i/>
        </w:rPr>
        <w:t xml:space="preserve"> </w:t>
      </w:r>
      <w:proofErr w:type="spellStart"/>
      <w:r w:rsidRPr="00310524">
        <w:rPr>
          <w:rFonts w:ascii="Times New Roman" w:eastAsia="Roboto" w:hAnsi="Times New Roman" w:cs="Times New Roman"/>
          <w:i/>
        </w:rPr>
        <w:t>saxatilis</w:t>
      </w:r>
      <w:proofErr w:type="spellEnd"/>
      <w:r w:rsidRPr="00310524">
        <w:rPr>
          <w:rFonts w:ascii="Times New Roman" w:eastAsia="Roboto" w:hAnsi="Times New Roman" w:cs="Times New Roman"/>
        </w:rPr>
        <w:t xml:space="preserve">) </w:t>
      </w:r>
      <w:r w:rsidRPr="00310524">
        <w:rPr>
          <w:rFonts w:ascii="Times New Roman" w:eastAsia="Times New Roman" w:hAnsi="Times New Roman" w:cs="Times New Roman"/>
          <w:sz w:val="24"/>
          <w:szCs w:val="24"/>
        </w:rPr>
        <w:t>at Waddell Creek lagoon, largemouth bass (</w:t>
      </w:r>
      <w:proofErr w:type="spellStart"/>
      <w:r w:rsidRPr="00310524">
        <w:rPr>
          <w:rFonts w:ascii="Times New Roman" w:eastAsia="Times New Roman" w:hAnsi="Times New Roman" w:cs="Times New Roman"/>
          <w:i/>
          <w:sz w:val="24"/>
          <w:szCs w:val="24"/>
        </w:rPr>
        <w:t>Micropterus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salmoides</w:t>
      </w:r>
      <w:proofErr w:type="spellEnd"/>
      <w:r w:rsidRPr="00310524">
        <w:rPr>
          <w:rFonts w:ascii="Times New Roman" w:eastAsia="Times New Roman" w:hAnsi="Times New Roman" w:cs="Times New Roman"/>
          <w:sz w:val="24"/>
          <w:szCs w:val="24"/>
        </w:rPr>
        <w:t>) at Old Lagoon, and Green sunfish (</w:t>
      </w:r>
      <w:proofErr w:type="spellStart"/>
      <w:r w:rsidRPr="00310524">
        <w:rPr>
          <w:rFonts w:ascii="Times New Roman" w:eastAsia="Times New Roman" w:hAnsi="Times New Roman" w:cs="Times New Roman"/>
          <w:i/>
          <w:sz w:val="24"/>
          <w:szCs w:val="24"/>
        </w:rPr>
        <w:t>Lepomis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cyanellus</w:t>
      </w:r>
      <w:proofErr w:type="spellEnd"/>
      <w:r w:rsidRPr="00310524">
        <w:rPr>
          <w:rFonts w:ascii="Times New Roman" w:eastAsia="Times New Roman" w:hAnsi="Times New Roman" w:cs="Times New Roman"/>
          <w:sz w:val="24"/>
          <w:szCs w:val="24"/>
        </w:rPr>
        <w:t xml:space="preserve">) at San Mateo Creek Lagoon have all been documented eliminating a population of tidewater gobies for a short period of time after invasion (D. Holland, </w:t>
      </w:r>
      <w:proofErr w:type="spellStart"/>
      <w:r w:rsidRPr="00310524">
        <w:rPr>
          <w:rFonts w:ascii="Times New Roman" w:eastAsia="Times New Roman" w:hAnsi="Times New Roman" w:cs="Times New Roman"/>
          <w:sz w:val="24"/>
          <w:szCs w:val="24"/>
        </w:rPr>
        <w:t>pers.comm</w:t>
      </w:r>
      <w:proofErr w:type="spellEnd"/>
      <w:r w:rsidRPr="00310524">
        <w:rPr>
          <w:rFonts w:ascii="Times New Roman" w:eastAsia="Times New Roman" w:hAnsi="Times New Roman" w:cs="Times New Roman"/>
          <w:sz w:val="24"/>
          <w:szCs w:val="24"/>
        </w:rPr>
        <w:t xml:space="preserve">. 1992; </w:t>
      </w:r>
      <w:proofErr w:type="spellStart"/>
      <w:r w:rsidRPr="00310524">
        <w:rPr>
          <w:rFonts w:ascii="Times New Roman" w:eastAsia="Times New Roman" w:hAnsi="Times New Roman" w:cs="Times New Roman"/>
          <w:sz w:val="24"/>
          <w:szCs w:val="24"/>
        </w:rPr>
        <w:t>Feldmuth</w:t>
      </w:r>
      <w:proofErr w:type="spellEnd"/>
      <w:r w:rsidRPr="00310524">
        <w:rPr>
          <w:rFonts w:ascii="Times New Roman" w:eastAsia="Times New Roman" w:hAnsi="Times New Roman" w:cs="Times New Roman"/>
          <w:sz w:val="24"/>
          <w:szCs w:val="24"/>
        </w:rPr>
        <w:t xml:space="preserve"> and </w:t>
      </w:r>
      <w:proofErr w:type="spellStart"/>
      <w:r w:rsidRPr="00310524">
        <w:rPr>
          <w:rFonts w:ascii="Times New Roman" w:eastAsia="Times New Roman" w:hAnsi="Times New Roman" w:cs="Times New Roman"/>
          <w:sz w:val="24"/>
          <w:szCs w:val="24"/>
        </w:rPr>
        <w:t>Soltz</w:t>
      </w:r>
      <w:proofErr w:type="spellEnd"/>
      <w:r w:rsidRPr="00310524">
        <w:rPr>
          <w:rFonts w:ascii="Times New Roman" w:eastAsia="Times New Roman" w:hAnsi="Times New Roman" w:cs="Times New Roman"/>
          <w:sz w:val="24"/>
          <w:szCs w:val="24"/>
        </w:rPr>
        <w:t xml:space="preserve"> 1986; Swift et al. 1994). </w:t>
      </w:r>
      <w:r w:rsidRPr="00310524">
        <w:rPr>
          <w:rFonts w:ascii="Times New Roman" w:eastAsia="Times New Roman" w:hAnsi="Times New Roman" w:cs="Times New Roman"/>
          <w:sz w:val="24"/>
          <w:szCs w:val="24"/>
        </w:rPr>
        <w:tab/>
      </w:r>
    </w:p>
    <w:p w14:paraId="496DA32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0E19E046"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Other survival stresses come from parasitism and exploitation of the fish for commercial or scientific use. Diseases caused by the fluke </w:t>
      </w:r>
      <w:proofErr w:type="spellStart"/>
      <w:r w:rsidRPr="00310524">
        <w:rPr>
          <w:rFonts w:ascii="Times New Roman" w:eastAsia="Times New Roman" w:hAnsi="Times New Roman" w:cs="Times New Roman"/>
          <w:i/>
          <w:sz w:val="24"/>
          <w:szCs w:val="24"/>
        </w:rPr>
        <w:t>Cryptocotyle</w:t>
      </w:r>
      <w:proofErr w:type="spellEnd"/>
      <w:r w:rsidRPr="00310524">
        <w:rPr>
          <w:rFonts w:ascii="Times New Roman" w:eastAsia="Times New Roman" w:hAnsi="Times New Roman" w:cs="Times New Roman"/>
          <w:i/>
          <w:sz w:val="24"/>
          <w:szCs w:val="24"/>
        </w:rPr>
        <w:t xml:space="preserve"> lingua</w:t>
      </w:r>
      <w:r w:rsidRPr="00310524">
        <w:rPr>
          <w:rFonts w:ascii="Times New Roman" w:eastAsia="Times New Roman" w:hAnsi="Times New Roman" w:cs="Times New Roman"/>
          <w:sz w:val="24"/>
          <w:szCs w:val="24"/>
        </w:rPr>
        <w:t xml:space="preserve">, a common marine parasite have been discovered to infect tidewater gobies from Corcoran Lagoon and possibly </w:t>
      </w:r>
      <w:proofErr w:type="spellStart"/>
      <w:r w:rsidRPr="00310524">
        <w:rPr>
          <w:rFonts w:ascii="Times New Roman" w:eastAsia="Times New Roman" w:hAnsi="Times New Roman" w:cs="Times New Roman"/>
          <w:sz w:val="24"/>
          <w:szCs w:val="24"/>
        </w:rPr>
        <w:t>Pescadero</w:t>
      </w:r>
      <w:proofErr w:type="spellEnd"/>
      <w:r w:rsidRPr="00310524">
        <w:rPr>
          <w:rFonts w:ascii="Times New Roman" w:eastAsia="Times New Roman" w:hAnsi="Times New Roman" w:cs="Times New Roman"/>
          <w:sz w:val="24"/>
          <w:szCs w:val="24"/>
        </w:rPr>
        <w:t xml:space="preserve"> Lagoon (Swenson 1999; Swift et al. 1989). The infection of </w:t>
      </w:r>
      <w:proofErr w:type="spellStart"/>
      <w:r w:rsidRPr="00310524">
        <w:rPr>
          <w:rFonts w:ascii="Times New Roman" w:eastAsia="Times New Roman" w:hAnsi="Times New Roman" w:cs="Times New Roman"/>
          <w:i/>
          <w:sz w:val="24"/>
          <w:szCs w:val="24"/>
        </w:rPr>
        <w:t>Cryptocotyle</w:t>
      </w:r>
      <w:proofErr w:type="spellEnd"/>
      <w:r w:rsidRPr="00310524">
        <w:rPr>
          <w:rFonts w:ascii="Times New Roman" w:eastAsia="Times New Roman" w:hAnsi="Times New Roman" w:cs="Times New Roman"/>
          <w:i/>
          <w:sz w:val="24"/>
          <w:szCs w:val="24"/>
        </w:rPr>
        <w:t xml:space="preserve"> lingua</w:t>
      </w:r>
      <w:r w:rsidRPr="00310524">
        <w:rPr>
          <w:rFonts w:ascii="Times New Roman" w:eastAsia="Times New Roman" w:hAnsi="Times New Roman" w:cs="Times New Roman"/>
          <w:sz w:val="24"/>
          <w:szCs w:val="24"/>
        </w:rPr>
        <w:t xml:space="preserve"> can not only finally kill the host fish, but also make the host fish more vulnerable to predation. Juvenile fishes are particularly sensitive to the infection. Nevertheless, the parasitism of </w:t>
      </w:r>
      <w:proofErr w:type="spellStart"/>
      <w:r w:rsidRPr="00310524">
        <w:rPr>
          <w:rFonts w:ascii="Times New Roman" w:eastAsia="Times New Roman" w:hAnsi="Times New Roman" w:cs="Times New Roman"/>
          <w:i/>
          <w:sz w:val="24"/>
          <w:szCs w:val="24"/>
        </w:rPr>
        <w:t>Cryptocotyle</w:t>
      </w:r>
      <w:proofErr w:type="spellEnd"/>
      <w:r w:rsidRPr="00310524">
        <w:rPr>
          <w:rFonts w:ascii="Times New Roman" w:eastAsia="Times New Roman" w:hAnsi="Times New Roman" w:cs="Times New Roman"/>
          <w:i/>
          <w:sz w:val="24"/>
          <w:szCs w:val="24"/>
        </w:rPr>
        <w:t xml:space="preserve"> lingua </w:t>
      </w:r>
      <w:r w:rsidRPr="00310524">
        <w:rPr>
          <w:rFonts w:ascii="Times New Roman" w:eastAsia="Times New Roman" w:hAnsi="Times New Roman" w:cs="Times New Roman"/>
          <w:sz w:val="24"/>
          <w:szCs w:val="24"/>
        </w:rPr>
        <w:t>is the only pathological impact on the population of the tidewater goby in records. Besides the disease, gobies are also harvested for commercial use or scientific researches, although it is not a major concern for the decline of the population (USFWS 2005).</w:t>
      </w:r>
    </w:p>
    <w:p w14:paraId="11BD98A0" w14:textId="77777777" w:rsidR="005248FB" w:rsidRPr="00310524" w:rsidRDefault="005248FB">
      <w:pPr>
        <w:rPr>
          <w:rFonts w:ascii="Times New Roman" w:eastAsia="Times New Roman" w:hAnsi="Times New Roman" w:cs="Times New Roman"/>
          <w:sz w:val="24"/>
          <w:szCs w:val="24"/>
        </w:rPr>
      </w:pPr>
    </w:p>
    <w:p w14:paraId="3194F8A2" w14:textId="77777777" w:rsidR="00170E20" w:rsidRPr="00310524" w:rsidRDefault="005D4F94">
      <w:pPr>
        <w:pStyle w:val="Heading2"/>
        <w:rPr>
          <w:rFonts w:ascii="Times New Roman" w:eastAsia="Times New Roman" w:hAnsi="Times New Roman" w:cs="Times New Roman"/>
        </w:rPr>
      </w:pPr>
      <w:bookmarkStart w:id="7" w:name="_1t3h5sf" w:colFirst="0" w:colLast="0"/>
      <w:bookmarkEnd w:id="7"/>
      <w:r w:rsidRPr="00310524">
        <w:rPr>
          <w:rFonts w:ascii="Times New Roman" w:eastAsia="Times New Roman" w:hAnsi="Times New Roman" w:cs="Times New Roman"/>
        </w:rPr>
        <w:t>Pyrethroid Uses and Properties</w:t>
      </w:r>
    </w:p>
    <w:p w14:paraId="3B1335C5" w14:textId="107AF2FD"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Ventura County is the 9th highest county in California in total pesticide use, applying 7,345,915 pounds </w:t>
      </w:r>
      <w:r w:rsidR="008B7FFD">
        <w:rPr>
          <w:rFonts w:ascii="Times New Roman" w:eastAsia="Times New Roman" w:hAnsi="Times New Roman" w:cs="Times New Roman"/>
          <w:sz w:val="24"/>
          <w:szCs w:val="24"/>
        </w:rPr>
        <w:t xml:space="preserve">of pesticide in 2015 (CDPR 2015; </w:t>
      </w:r>
      <w:r w:rsidR="008B7FFD" w:rsidRPr="008B7FFD">
        <w:rPr>
          <w:rFonts w:ascii="Times New Roman" w:eastAsia="Times New Roman" w:hAnsi="Times New Roman" w:cs="Times New Roman"/>
          <w:b/>
          <w:sz w:val="24"/>
          <w:szCs w:val="24"/>
        </w:rPr>
        <w:t>Figure 3</w:t>
      </w:r>
      <w:r w:rsidR="008B7FFD">
        <w:rPr>
          <w:rFonts w:ascii="Times New Roman" w:eastAsia="Times New Roman" w:hAnsi="Times New Roman" w:cs="Times New Roman"/>
          <w:sz w:val="24"/>
          <w:szCs w:val="24"/>
        </w:rPr>
        <w:t>)</w:t>
      </w:r>
      <w:r w:rsidRPr="00310524">
        <w:rPr>
          <w:rFonts w:ascii="Times New Roman" w:eastAsia="Times New Roman" w:hAnsi="Times New Roman" w:cs="Times New Roman"/>
          <w:sz w:val="24"/>
          <w:szCs w:val="24"/>
        </w:rPr>
        <w:t>. These applications are used both agriculturally (67% of total) and for urban or residential applications. Nonagricultural uses include fumigation, residential pest control, vector control, household products, and nursery applications.</w:t>
      </w:r>
    </w:p>
    <w:p w14:paraId="6B029504" w14:textId="77777777" w:rsidR="00170E20" w:rsidRPr="00310524" w:rsidRDefault="00170E20">
      <w:pPr>
        <w:spacing w:line="240" w:lineRule="auto"/>
        <w:rPr>
          <w:rFonts w:ascii="Times New Roman" w:eastAsia="Times New Roman" w:hAnsi="Times New Roman" w:cs="Times New Roman"/>
          <w:sz w:val="24"/>
          <w:szCs w:val="24"/>
        </w:rPr>
      </w:pPr>
    </w:p>
    <w:p w14:paraId="5D1B9B1C"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A rising class of pesticides that have been applied more heavily in the past couple of years are pyrethroids. This is associated with the decline of organophosphate chemicals due to the concerns of their deleterious health effects. Pyrethroid pesticides are synthetic, organic compounds derived from the naturally occurring pyrethrins. </w:t>
      </w:r>
    </w:p>
    <w:p w14:paraId="071A674E" w14:textId="77777777" w:rsidR="00170E20" w:rsidRPr="00310524" w:rsidRDefault="00170E20">
      <w:pPr>
        <w:spacing w:line="240" w:lineRule="auto"/>
        <w:rPr>
          <w:rFonts w:ascii="Times New Roman" w:eastAsia="Times New Roman" w:hAnsi="Times New Roman" w:cs="Times New Roman"/>
          <w:sz w:val="24"/>
          <w:szCs w:val="24"/>
        </w:rPr>
      </w:pPr>
    </w:p>
    <w:p w14:paraId="1AF9BE8E" w14:textId="77777777" w:rsidR="00170E20" w:rsidRPr="00310524" w:rsidRDefault="00170E20">
      <w:pPr>
        <w:spacing w:line="240" w:lineRule="auto"/>
        <w:rPr>
          <w:rFonts w:ascii="Times New Roman" w:eastAsia="Times New Roman" w:hAnsi="Times New Roman" w:cs="Times New Roman"/>
          <w:sz w:val="24"/>
          <w:szCs w:val="24"/>
        </w:rPr>
      </w:pPr>
    </w:p>
    <w:p w14:paraId="7A100F4B" w14:textId="77777777" w:rsidR="00170E20" w:rsidRPr="00310524" w:rsidRDefault="005D4F94">
      <w:pPr>
        <w:spacing w:line="331" w:lineRule="auto"/>
        <w:jc w:val="center"/>
        <w:rPr>
          <w:rFonts w:ascii="Times New Roman" w:eastAsia="Times New Roman" w:hAnsi="Times New Roman" w:cs="Times New Roman"/>
        </w:rPr>
      </w:pPr>
      <w:r w:rsidRPr="00310524">
        <w:rPr>
          <w:rFonts w:ascii="Times New Roman" w:hAnsi="Times New Roman" w:cs="Times New Roman"/>
          <w:noProof/>
        </w:rPr>
        <w:drawing>
          <wp:inline distT="114300" distB="114300" distL="114300" distR="114300" wp14:anchorId="0D8BD2CD" wp14:editId="4822BCFE">
            <wp:extent cx="4148138" cy="24930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4148138" cy="2493038"/>
                    </a:xfrm>
                    <a:prstGeom prst="rect">
                      <a:avLst/>
                    </a:prstGeom>
                    <a:ln/>
                  </pic:spPr>
                </pic:pic>
              </a:graphicData>
            </a:graphic>
          </wp:inline>
        </w:drawing>
      </w:r>
    </w:p>
    <w:p w14:paraId="5527BBE9" w14:textId="60D7DBCA" w:rsidR="00170E20" w:rsidRPr="00310524" w:rsidRDefault="00D542AF">
      <w:pPr>
        <w:spacing w:line="240" w:lineRule="auto"/>
        <w:ind w:left="1440"/>
        <w:rPr>
          <w:rFonts w:ascii="Times New Roman" w:eastAsia="Times New Roman" w:hAnsi="Times New Roman" w:cs="Times New Roman"/>
          <w:sz w:val="18"/>
          <w:szCs w:val="18"/>
        </w:rPr>
      </w:pPr>
      <w:r>
        <w:rPr>
          <w:rFonts w:ascii="Times New Roman" w:eastAsia="Times New Roman" w:hAnsi="Times New Roman" w:cs="Times New Roman"/>
          <w:b/>
          <w:sz w:val="18"/>
          <w:szCs w:val="18"/>
        </w:rPr>
        <w:lastRenderedPageBreak/>
        <w:t>Figure 3</w:t>
      </w:r>
      <w:r w:rsidR="005D4F94" w:rsidRPr="00310524">
        <w:rPr>
          <w:rFonts w:ascii="Times New Roman" w:eastAsia="Times New Roman" w:hAnsi="Times New Roman" w:cs="Times New Roman"/>
          <w:b/>
          <w:sz w:val="18"/>
          <w:szCs w:val="18"/>
        </w:rPr>
        <w:t xml:space="preserve">. Total Pyrethroid Use in Ventura County. </w:t>
      </w:r>
      <w:r w:rsidR="005D4F94" w:rsidRPr="00310524">
        <w:rPr>
          <w:rFonts w:ascii="Times New Roman" w:eastAsia="Times New Roman" w:hAnsi="Times New Roman" w:cs="Times New Roman"/>
          <w:sz w:val="18"/>
          <w:szCs w:val="18"/>
        </w:rPr>
        <w:t xml:space="preserve">Bifenthrin, Permethrin, as well as total </w:t>
      </w:r>
    </w:p>
    <w:p w14:paraId="7060C9A9" w14:textId="77777777" w:rsidR="00170E20" w:rsidRPr="00310524" w:rsidRDefault="005D4F94">
      <w:pPr>
        <w:spacing w:line="240" w:lineRule="auto"/>
        <w:ind w:left="1440"/>
        <w:rPr>
          <w:rFonts w:ascii="Times New Roman" w:eastAsia="Times New Roman" w:hAnsi="Times New Roman" w:cs="Times New Roman"/>
          <w:sz w:val="18"/>
          <w:szCs w:val="18"/>
        </w:rPr>
      </w:pPr>
      <w:r w:rsidRPr="00310524">
        <w:rPr>
          <w:rFonts w:ascii="Times New Roman" w:eastAsia="Times New Roman" w:hAnsi="Times New Roman" w:cs="Times New Roman"/>
          <w:sz w:val="18"/>
          <w:szCs w:val="18"/>
        </w:rPr>
        <w:t xml:space="preserve">pyrethroid use measured in pounds of active ingredients from 2000-2015. All data was </w:t>
      </w:r>
    </w:p>
    <w:p w14:paraId="4C254770" w14:textId="77777777" w:rsidR="00170E20" w:rsidRPr="00310524" w:rsidRDefault="005D4F94">
      <w:pPr>
        <w:spacing w:line="240" w:lineRule="auto"/>
        <w:ind w:left="1440"/>
        <w:rPr>
          <w:rFonts w:ascii="Times New Roman" w:eastAsia="Times New Roman" w:hAnsi="Times New Roman" w:cs="Times New Roman"/>
          <w:sz w:val="18"/>
          <w:szCs w:val="18"/>
        </w:rPr>
      </w:pPr>
      <w:r w:rsidRPr="00310524">
        <w:rPr>
          <w:rFonts w:ascii="Times New Roman" w:eastAsia="Times New Roman" w:hAnsi="Times New Roman" w:cs="Times New Roman"/>
          <w:sz w:val="18"/>
          <w:szCs w:val="18"/>
        </w:rPr>
        <w:t>provided by the California Department of Pesticide Regulation (Adapted from CDPR 2015).</w:t>
      </w:r>
    </w:p>
    <w:p w14:paraId="4D327505" w14:textId="77777777" w:rsidR="00170E20" w:rsidRPr="00310524" w:rsidRDefault="00170E20">
      <w:pPr>
        <w:spacing w:line="240" w:lineRule="auto"/>
        <w:rPr>
          <w:rFonts w:ascii="Times New Roman" w:eastAsia="Times New Roman" w:hAnsi="Times New Roman" w:cs="Times New Roman"/>
          <w:sz w:val="24"/>
          <w:szCs w:val="24"/>
        </w:rPr>
      </w:pPr>
    </w:p>
    <w:p w14:paraId="23C018C9" w14:textId="30465B8C"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For Ventura County, the most commonly used pesticide of this class is bifenthrin. Bifenthrin is a pyrethroid compound synthesized for the control of a wide range of foliar insects, subterranean termites and wood infesting insects (Dong 1995). A total of 6,048 </w:t>
      </w:r>
      <w:proofErr w:type="spellStart"/>
      <w:r w:rsidRPr="00310524">
        <w:rPr>
          <w:rFonts w:ascii="Times New Roman" w:eastAsia="Times New Roman" w:hAnsi="Times New Roman" w:cs="Times New Roman"/>
          <w:sz w:val="24"/>
          <w:szCs w:val="24"/>
        </w:rPr>
        <w:t>lbs</w:t>
      </w:r>
      <w:proofErr w:type="spellEnd"/>
      <w:r w:rsidRPr="00310524">
        <w:rPr>
          <w:rFonts w:ascii="Times New Roman" w:eastAsia="Times New Roman" w:hAnsi="Times New Roman" w:cs="Times New Roman"/>
          <w:sz w:val="24"/>
          <w:szCs w:val="24"/>
        </w:rPr>
        <w:t xml:space="preserve"> active ingredient (</w:t>
      </w:r>
      <w:proofErr w:type="spellStart"/>
      <w:r w:rsidRPr="00310524">
        <w:rPr>
          <w:rFonts w:ascii="Times New Roman" w:eastAsia="Times New Roman" w:hAnsi="Times New Roman" w:cs="Times New Roman"/>
          <w:sz w:val="24"/>
          <w:szCs w:val="24"/>
        </w:rPr>
        <w:t>a.i</w:t>
      </w:r>
      <w:proofErr w:type="spellEnd"/>
      <w:r w:rsidRPr="00310524">
        <w:rPr>
          <w:rFonts w:ascii="Times New Roman" w:eastAsia="Times New Roman" w:hAnsi="Times New Roman" w:cs="Times New Roman"/>
          <w:sz w:val="24"/>
          <w:szCs w:val="24"/>
        </w:rPr>
        <w:t>) was applied in 2015. The majority of the pesticide was used for structural pest control (55%) but strawberry production (26.7%) was also a heavy user of the compound (</w:t>
      </w:r>
      <w:r w:rsidR="00D542AF">
        <w:rPr>
          <w:rFonts w:ascii="Times New Roman" w:eastAsia="Times New Roman" w:hAnsi="Times New Roman" w:cs="Times New Roman"/>
          <w:b/>
          <w:sz w:val="24"/>
          <w:szCs w:val="24"/>
        </w:rPr>
        <w:t>Figure 4</w:t>
      </w:r>
      <w:r w:rsidRPr="00310524">
        <w:rPr>
          <w:rFonts w:ascii="Times New Roman" w:eastAsia="Times New Roman" w:hAnsi="Times New Roman" w:cs="Times New Roman"/>
          <w:b/>
          <w:sz w:val="24"/>
          <w:szCs w:val="24"/>
        </w:rPr>
        <w:t>)</w:t>
      </w:r>
      <w:r w:rsidRPr="00310524">
        <w:rPr>
          <w:rFonts w:ascii="Times New Roman" w:eastAsia="Times New Roman" w:hAnsi="Times New Roman" w:cs="Times New Roman"/>
          <w:sz w:val="24"/>
          <w:szCs w:val="24"/>
        </w:rPr>
        <w:t xml:space="preserve">. </w:t>
      </w:r>
    </w:p>
    <w:p w14:paraId="1B8393F0" w14:textId="77777777" w:rsidR="00170E20" w:rsidRPr="00310524" w:rsidRDefault="00170E20">
      <w:pPr>
        <w:spacing w:line="240" w:lineRule="auto"/>
        <w:rPr>
          <w:rFonts w:ascii="Times New Roman" w:eastAsia="Times New Roman" w:hAnsi="Times New Roman" w:cs="Times New Roman"/>
          <w:sz w:val="24"/>
          <w:szCs w:val="24"/>
        </w:rPr>
      </w:pPr>
    </w:p>
    <w:p w14:paraId="21CF2B84" w14:textId="77777777" w:rsidR="00170E20" w:rsidRPr="00310524" w:rsidRDefault="005D4F94">
      <w:pPr>
        <w:spacing w:line="331" w:lineRule="auto"/>
        <w:jc w:val="center"/>
        <w:rPr>
          <w:rFonts w:ascii="Times New Roman" w:eastAsia="Times New Roman" w:hAnsi="Times New Roman" w:cs="Times New Roman"/>
        </w:rPr>
      </w:pPr>
      <w:r w:rsidRPr="00310524">
        <w:rPr>
          <w:rFonts w:ascii="Times New Roman" w:hAnsi="Times New Roman" w:cs="Times New Roman"/>
          <w:noProof/>
        </w:rPr>
        <w:drawing>
          <wp:inline distT="114300" distB="114300" distL="114300" distR="114300" wp14:anchorId="77B930CA" wp14:editId="1691B164">
            <wp:extent cx="4729163" cy="2922011"/>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4729163" cy="2922011"/>
                    </a:xfrm>
                    <a:prstGeom prst="rect">
                      <a:avLst/>
                    </a:prstGeom>
                    <a:ln/>
                  </pic:spPr>
                </pic:pic>
              </a:graphicData>
            </a:graphic>
          </wp:inline>
        </w:drawing>
      </w:r>
    </w:p>
    <w:p w14:paraId="23C52BD0" w14:textId="16E73501" w:rsidR="00170E20" w:rsidRPr="00310524" w:rsidRDefault="008B7FFD">
      <w:pPr>
        <w:spacing w:line="240" w:lineRule="auto"/>
        <w:ind w:left="720"/>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4</w:t>
      </w:r>
      <w:r w:rsidR="005D4F94" w:rsidRPr="00310524">
        <w:rPr>
          <w:rFonts w:ascii="Times New Roman" w:eastAsia="Times New Roman" w:hAnsi="Times New Roman" w:cs="Times New Roman"/>
          <w:b/>
          <w:sz w:val="18"/>
          <w:szCs w:val="18"/>
        </w:rPr>
        <w:t>. Percentage of the Uses for Bifenthrin in Ventura County for 2015.</w:t>
      </w:r>
      <w:r w:rsidR="005D4F94" w:rsidRPr="00310524">
        <w:rPr>
          <w:rFonts w:ascii="Times New Roman" w:eastAsia="Times New Roman" w:hAnsi="Times New Roman" w:cs="Times New Roman"/>
          <w:sz w:val="18"/>
          <w:szCs w:val="18"/>
        </w:rPr>
        <w:t xml:space="preserve"> All data was provided by the </w:t>
      </w:r>
    </w:p>
    <w:p w14:paraId="5E2EA1A1" w14:textId="77777777" w:rsidR="00170E20" w:rsidRPr="00310524" w:rsidRDefault="005D4F94">
      <w:pPr>
        <w:spacing w:line="240" w:lineRule="auto"/>
        <w:ind w:left="720"/>
        <w:rPr>
          <w:rFonts w:ascii="Times New Roman" w:eastAsia="Times New Roman" w:hAnsi="Times New Roman" w:cs="Times New Roman"/>
          <w:sz w:val="18"/>
          <w:szCs w:val="18"/>
        </w:rPr>
      </w:pPr>
      <w:r w:rsidRPr="00310524">
        <w:rPr>
          <w:rFonts w:ascii="Times New Roman" w:eastAsia="Times New Roman" w:hAnsi="Times New Roman" w:cs="Times New Roman"/>
          <w:sz w:val="18"/>
          <w:szCs w:val="18"/>
        </w:rPr>
        <w:t>California Department of Pesticide Regulation (Adapted from CDPR 2015).</w:t>
      </w:r>
    </w:p>
    <w:p w14:paraId="3DFB79E0" w14:textId="77777777" w:rsidR="00170E20" w:rsidRPr="00310524" w:rsidRDefault="00170E20">
      <w:pPr>
        <w:spacing w:line="240" w:lineRule="auto"/>
        <w:ind w:left="720"/>
        <w:rPr>
          <w:rFonts w:ascii="Times New Roman" w:eastAsia="Times New Roman" w:hAnsi="Times New Roman" w:cs="Times New Roman"/>
          <w:sz w:val="18"/>
          <w:szCs w:val="18"/>
        </w:rPr>
      </w:pPr>
    </w:p>
    <w:p w14:paraId="737F5ECA" w14:textId="412D0796"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Bifenthrin has become popular for red imported fire ant control. This use has led to an increasing trend of Bifenthrin use in the non-agricultural sector since 2010 (</w:t>
      </w:r>
      <w:r w:rsidR="008B7FFD">
        <w:rPr>
          <w:rFonts w:ascii="Times New Roman" w:eastAsia="Times New Roman" w:hAnsi="Times New Roman" w:cs="Times New Roman"/>
          <w:b/>
          <w:sz w:val="24"/>
          <w:szCs w:val="24"/>
        </w:rPr>
        <w:t>Figure 5</w:t>
      </w:r>
      <w:r w:rsidRPr="00310524">
        <w:rPr>
          <w:rFonts w:ascii="Times New Roman" w:eastAsia="Times New Roman" w:hAnsi="Times New Roman" w:cs="Times New Roman"/>
          <w:b/>
          <w:sz w:val="24"/>
          <w:szCs w:val="24"/>
        </w:rPr>
        <w:t>)</w:t>
      </w:r>
      <w:r w:rsidRPr="00310524">
        <w:rPr>
          <w:rFonts w:ascii="Times New Roman" w:eastAsia="Times New Roman" w:hAnsi="Times New Roman" w:cs="Times New Roman"/>
          <w:sz w:val="24"/>
          <w:szCs w:val="24"/>
        </w:rPr>
        <w:t xml:space="preserve">. Additionally, bifenthrin is becoming common in the household product marketplace. There are over 600 products containing Bifenthrin available in the United States, including sprays, granules and aerosols (Dong 1995). This has led to pesticide runoff in urban areas to become a major problem throughout California and the United States. In monitoring performed by the California Stormwater Quality Association (CASQA), Bifenthrin was detected in 69% of sediment samples and 64% of water samples (CASQA 2013). </w:t>
      </w:r>
    </w:p>
    <w:p w14:paraId="7864521B" w14:textId="77777777" w:rsidR="00170E20" w:rsidRPr="00310524" w:rsidRDefault="00170E20">
      <w:pPr>
        <w:spacing w:line="240" w:lineRule="auto"/>
        <w:rPr>
          <w:rFonts w:ascii="Times New Roman" w:eastAsia="Times New Roman" w:hAnsi="Times New Roman" w:cs="Times New Roman"/>
        </w:rPr>
      </w:pPr>
    </w:p>
    <w:p w14:paraId="3BAED736" w14:textId="77777777" w:rsidR="00170E20" w:rsidRPr="00310524" w:rsidRDefault="005D4F94">
      <w:pPr>
        <w:spacing w:line="240" w:lineRule="auto"/>
        <w:jc w:val="center"/>
        <w:rPr>
          <w:rFonts w:ascii="Times New Roman" w:eastAsia="Times New Roman" w:hAnsi="Times New Roman" w:cs="Times New Roman"/>
        </w:rPr>
      </w:pPr>
      <w:r w:rsidRPr="00310524">
        <w:rPr>
          <w:rFonts w:ascii="Times New Roman" w:hAnsi="Times New Roman" w:cs="Times New Roman"/>
          <w:noProof/>
        </w:rPr>
        <w:lastRenderedPageBreak/>
        <w:drawing>
          <wp:inline distT="114300" distB="114300" distL="114300" distR="114300" wp14:anchorId="6E4F147B" wp14:editId="6AD193A3">
            <wp:extent cx="5943600" cy="262890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943600" cy="2628900"/>
                    </a:xfrm>
                    <a:prstGeom prst="rect">
                      <a:avLst/>
                    </a:prstGeom>
                    <a:ln/>
                  </pic:spPr>
                </pic:pic>
              </a:graphicData>
            </a:graphic>
          </wp:inline>
        </w:drawing>
      </w:r>
    </w:p>
    <w:p w14:paraId="3D8300C5" w14:textId="6042EBAC" w:rsidR="00170E20" w:rsidRPr="00310524" w:rsidRDefault="008B7FFD">
      <w:pPr>
        <w:spacing w:line="240" w:lineRule="auto"/>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5</w:t>
      </w:r>
      <w:r w:rsidR="005D4F94" w:rsidRPr="00310524">
        <w:rPr>
          <w:rFonts w:ascii="Times New Roman" w:eastAsia="Times New Roman" w:hAnsi="Times New Roman" w:cs="Times New Roman"/>
          <w:b/>
          <w:sz w:val="18"/>
          <w:szCs w:val="18"/>
        </w:rPr>
        <w:t>. Total Bifenthrin Use by Agricultural and Non-Agricultural uses from 2000-2015.</w:t>
      </w:r>
      <w:r w:rsidR="005D4F94" w:rsidRPr="00310524">
        <w:rPr>
          <w:rFonts w:ascii="Times New Roman" w:eastAsia="Times New Roman" w:hAnsi="Times New Roman" w:cs="Times New Roman"/>
          <w:sz w:val="18"/>
          <w:szCs w:val="18"/>
        </w:rPr>
        <w:t xml:space="preserve"> All data was provided by the California Department of </w:t>
      </w:r>
      <w:proofErr w:type="gramStart"/>
      <w:r w:rsidR="005D4F94" w:rsidRPr="00310524">
        <w:rPr>
          <w:rFonts w:ascii="Times New Roman" w:eastAsia="Times New Roman" w:hAnsi="Times New Roman" w:cs="Times New Roman"/>
          <w:sz w:val="18"/>
          <w:szCs w:val="18"/>
        </w:rPr>
        <w:t>Pesticide  Regulation</w:t>
      </w:r>
      <w:proofErr w:type="gramEnd"/>
      <w:r w:rsidR="005D4F94" w:rsidRPr="00310524">
        <w:rPr>
          <w:rFonts w:ascii="Times New Roman" w:eastAsia="Times New Roman" w:hAnsi="Times New Roman" w:cs="Times New Roman"/>
          <w:sz w:val="18"/>
          <w:szCs w:val="18"/>
        </w:rPr>
        <w:t>. Non-Agricultural u</w:t>
      </w:r>
      <w:r>
        <w:rPr>
          <w:rFonts w:ascii="Times New Roman" w:eastAsia="Times New Roman" w:hAnsi="Times New Roman" w:cs="Times New Roman"/>
          <w:sz w:val="18"/>
          <w:szCs w:val="18"/>
        </w:rPr>
        <w:t xml:space="preserve">ses were not collected in 2009 </w:t>
      </w:r>
      <w:r w:rsidR="005D4F94" w:rsidRPr="00310524">
        <w:rPr>
          <w:rFonts w:ascii="Times New Roman" w:eastAsia="Times New Roman" w:hAnsi="Times New Roman" w:cs="Times New Roman"/>
          <w:sz w:val="18"/>
          <w:szCs w:val="18"/>
        </w:rPr>
        <w:t>(Adapted from CDPR 2015)</w:t>
      </w:r>
      <w:r>
        <w:rPr>
          <w:rFonts w:ascii="Times New Roman" w:eastAsia="Times New Roman" w:hAnsi="Times New Roman" w:cs="Times New Roman"/>
          <w:sz w:val="18"/>
          <w:szCs w:val="18"/>
        </w:rPr>
        <w:t>.</w:t>
      </w:r>
    </w:p>
    <w:p w14:paraId="65C14A59" w14:textId="77777777" w:rsidR="00170E20" w:rsidRPr="00310524" w:rsidRDefault="00170E20">
      <w:pPr>
        <w:spacing w:line="240" w:lineRule="auto"/>
        <w:rPr>
          <w:rFonts w:ascii="Times New Roman" w:eastAsia="Times New Roman" w:hAnsi="Times New Roman" w:cs="Times New Roman"/>
        </w:rPr>
      </w:pPr>
    </w:p>
    <w:p w14:paraId="434E2ECB" w14:textId="61A158D0"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Other pyrethroids used in our study area include (S)-</w:t>
      </w:r>
      <w:proofErr w:type="spellStart"/>
      <w:r w:rsidRPr="00310524">
        <w:rPr>
          <w:rFonts w:ascii="Times New Roman" w:eastAsia="Times New Roman" w:hAnsi="Times New Roman" w:cs="Times New Roman"/>
          <w:sz w:val="24"/>
          <w:szCs w:val="24"/>
        </w:rPr>
        <w:t>cypermethrin</w:t>
      </w:r>
      <w:proofErr w:type="spellEnd"/>
      <w:r w:rsidRPr="00310524">
        <w:rPr>
          <w:rFonts w:ascii="Times New Roman" w:eastAsia="Times New Roman" w:hAnsi="Times New Roman" w:cs="Times New Roman"/>
          <w:sz w:val="24"/>
          <w:szCs w:val="24"/>
        </w:rPr>
        <w:t>, beta-</w:t>
      </w:r>
      <w:proofErr w:type="spellStart"/>
      <w:r w:rsidRPr="00310524">
        <w:rPr>
          <w:rFonts w:ascii="Times New Roman" w:eastAsia="Times New Roman" w:hAnsi="Times New Roman" w:cs="Times New Roman"/>
          <w:sz w:val="24"/>
          <w:szCs w:val="24"/>
        </w:rPr>
        <w:t>cyfluthrin</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cyfluthrin</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cypermethrin</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esfenvalerate</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fenpropathrin</w:t>
      </w:r>
      <w:proofErr w:type="spellEnd"/>
      <w:r w:rsidRPr="00310524">
        <w:rPr>
          <w:rFonts w:ascii="Times New Roman" w:eastAsia="Times New Roman" w:hAnsi="Times New Roman" w:cs="Times New Roman"/>
          <w:sz w:val="24"/>
          <w:szCs w:val="24"/>
        </w:rPr>
        <w:t>, lambda-</w:t>
      </w:r>
      <w:proofErr w:type="spellStart"/>
      <w:r w:rsidRPr="00310524">
        <w:rPr>
          <w:rFonts w:ascii="Times New Roman" w:eastAsia="Times New Roman" w:hAnsi="Times New Roman" w:cs="Times New Roman"/>
          <w:sz w:val="24"/>
          <w:szCs w:val="24"/>
        </w:rPr>
        <w:t>cyhalothrin</w:t>
      </w:r>
      <w:proofErr w:type="spellEnd"/>
      <w:r w:rsidRPr="00310524">
        <w:rPr>
          <w:rFonts w:ascii="Times New Roman" w:eastAsia="Times New Roman" w:hAnsi="Times New Roman" w:cs="Times New Roman"/>
          <w:sz w:val="24"/>
          <w:szCs w:val="24"/>
        </w:rPr>
        <w:t>, permethrin, pyrethrins, and tau-</w:t>
      </w:r>
      <w:proofErr w:type="spellStart"/>
      <w:r w:rsidRPr="00310524">
        <w:rPr>
          <w:rFonts w:ascii="Times New Roman" w:eastAsia="Times New Roman" w:hAnsi="Times New Roman" w:cs="Times New Roman"/>
          <w:sz w:val="24"/>
          <w:szCs w:val="24"/>
        </w:rPr>
        <w:t>fluvalinate</w:t>
      </w:r>
      <w:proofErr w:type="spellEnd"/>
      <w:r w:rsidRPr="00310524">
        <w:rPr>
          <w:rFonts w:ascii="Times New Roman" w:eastAsia="Times New Roman" w:hAnsi="Times New Roman" w:cs="Times New Roman"/>
          <w:sz w:val="24"/>
          <w:szCs w:val="24"/>
        </w:rPr>
        <w:t>. According to CDPR, each one of these as well as bifenthrin was used in our study area during 2015</w:t>
      </w:r>
      <w:r w:rsidR="008B7FFD">
        <w:rPr>
          <w:rFonts w:ascii="Times New Roman" w:eastAsia="Times New Roman" w:hAnsi="Times New Roman" w:cs="Times New Roman"/>
          <w:sz w:val="24"/>
          <w:szCs w:val="24"/>
        </w:rPr>
        <w:t xml:space="preserve"> (</w:t>
      </w:r>
      <w:r w:rsidR="008B7FFD" w:rsidRPr="008B7FFD">
        <w:rPr>
          <w:rFonts w:ascii="Times New Roman" w:eastAsia="Times New Roman" w:hAnsi="Times New Roman" w:cs="Times New Roman"/>
          <w:b/>
          <w:sz w:val="24"/>
          <w:szCs w:val="24"/>
        </w:rPr>
        <w:t>Figure 6</w:t>
      </w:r>
      <w:r w:rsidR="008B7FFD">
        <w:rPr>
          <w:rFonts w:ascii="Times New Roman" w:eastAsia="Times New Roman" w:hAnsi="Times New Roman" w:cs="Times New Roman"/>
          <w:sz w:val="24"/>
          <w:szCs w:val="24"/>
        </w:rPr>
        <w:t>)</w:t>
      </w:r>
      <w:r w:rsidRPr="00310524">
        <w:rPr>
          <w:rFonts w:ascii="Times New Roman" w:eastAsia="Times New Roman" w:hAnsi="Times New Roman" w:cs="Times New Roman"/>
          <w:sz w:val="24"/>
          <w:szCs w:val="24"/>
        </w:rPr>
        <w:t xml:space="preserve">. Spatial Resolution for non-agricultural use is only provided at the county level so different data gathering techniques will be needed. </w:t>
      </w:r>
    </w:p>
    <w:p w14:paraId="29660241" w14:textId="77777777" w:rsidR="00170E20" w:rsidRPr="00310524" w:rsidRDefault="00170E20">
      <w:pPr>
        <w:spacing w:line="240" w:lineRule="auto"/>
        <w:rPr>
          <w:rFonts w:ascii="Times New Roman" w:eastAsia="Times New Roman" w:hAnsi="Times New Roman" w:cs="Times New Roman"/>
          <w:sz w:val="24"/>
          <w:szCs w:val="24"/>
        </w:rPr>
      </w:pPr>
    </w:p>
    <w:p w14:paraId="49714FA7" w14:textId="77777777" w:rsidR="00170E20" w:rsidRPr="00310524" w:rsidRDefault="005D4F94">
      <w:pPr>
        <w:spacing w:line="240" w:lineRule="auto"/>
        <w:jc w:val="center"/>
        <w:rPr>
          <w:rFonts w:ascii="Times New Roman" w:eastAsia="Times New Roman" w:hAnsi="Times New Roman" w:cs="Times New Roman"/>
          <w:sz w:val="24"/>
          <w:szCs w:val="24"/>
        </w:rPr>
      </w:pPr>
      <w:r w:rsidRPr="00310524">
        <w:rPr>
          <w:rFonts w:ascii="Times New Roman" w:hAnsi="Times New Roman" w:cs="Times New Roman"/>
          <w:noProof/>
        </w:rPr>
        <w:drawing>
          <wp:inline distT="114300" distB="114300" distL="114300" distR="114300" wp14:anchorId="0519D638" wp14:editId="4B3BDB84">
            <wp:extent cx="4586288" cy="2695757"/>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586288" cy="2695757"/>
                    </a:xfrm>
                    <a:prstGeom prst="rect">
                      <a:avLst/>
                    </a:prstGeom>
                    <a:ln/>
                  </pic:spPr>
                </pic:pic>
              </a:graphicData>
            </a:graphic>
          </wp:inline>
        </w:drawing>
      </w:r>
    </w:p>
    <w:p w14:paraId="1B09A3EB" w14:textId="0646B52E" w:rsidR="00170E20" w:rsidRPr="00310524" w:rsidRDefault="008B7FFD">
      <w:pPr>
        <w:spacing w:line="240" w:lineRule="auto"/>
        <w:ind w:left="720"/>
        <w:rPr>
          <w:rFonts w:ascii="Times New Roman" w:eastAsia="Times New Roman" w:hAnsi="Times New Roman" w:cs="Times New Roman"/>
          <w:sz w:val="18"/>
          <w:szCs w:val="18"/>
        </w:rPr>
      </w:pPr>
      <w:r>
        <w:rPr>
          <w:rFonts w:ascii="Times New Roman" w:eastAsia="Times New Roman" w:hAnsi="Times New Roman" w:cs="Times New Roman"/>
          <w:b/>
          <w:sz w:val="18"/>
          <w:szCs w:val="18"/>
        </w:rPr>
        <w:t>Figure 6</w:t>
      </w:r>
      <w:r w:rsidR="005D4F94" w:rsidRPr="00310524">
        <w:rPr>
          <w:rFonts w:ascii="Times New Roman" w:eastAsia="Times New Roman" w:hAnsi="Times New Roman" w:cs="Times New Roman"/>
          <w:b/>
          <w:sz w:val="18"/>
          <w:szCs w:val="18"/>
        </w:rPr>
        <w:t xml:space="preserve">. Agricultural Pyrethroid Use in Study Area. </w:t>
      </w:r>
      <w:r w:rsidR="005D4F94" w:rsidRPr="00310524">
        <w:rPr>
          <w:rFonts w:ascii="Times New Roman" w:eastAsia="Times New Roman" w:hAnsi="Times New Roman" w:cs="Times New Roman"/>
          <w:sz w:val="18"/>
          <w:szCs w:val="18"/>
        </w:rPr>
        <w:t xml:space="preserve">Note that this does not include non-agricultural pest control applications. All data was provided by the California Department of Pesticide Regulation (Adapted from CDPR 2015). For the preliminary data analysis, the Beardsley Wash, </w:t>
      </w:r>
      <w:proofErr w:type="spellStart"/>
      <w:r w:rsidR="005D4F94" w:rsidRPr="00310524">
        <w:rPr>
          <w:rFonts w:ascii="Times New Roman" w:eastAsia="Times New Roman" w:hAnsi="Times New Roman" w:cs="Times New Roman"/>
          <w:sz w:val="18"/>
          <w:szCs w:val="18"/>
        </w:rPr>
        <w:t>harmon</w:t>
      </w:r>
      <w:proofErr w:type="spellEnd"/>
      <w:r w:rsidR="005D4F94" w:rsidRPr="00310524">
        <w:rPr>
          <w:rFonts w:ascii="Times New Roman" w:eastAsia="Times New Roman" w:hAnsi="Times New Roman" w:cs="Times New Roman"/>
          <w:sz w:val="18"/>
          <w:szCs w:val="18"/>
        </w:rPr>
        <w:t xml:space="preserve"> Canyon-Santa Clara River, McGrath Lake-Frontal Pacific Ocean, </w:t>
      </w:r>
      <w:proofErr w:type="spellStart"/>
      <w:r w:rsidR="005D4F94" w:rsidRPr="00310524">
        <w:rPr>
          <w:rFonts w:ascii="Times New Roman" w:eastAsia="Times New Roman" w:hAnsi="Times New Roman" w:cs="Times New Roman"/>
          <w:sz w:val="18"/>
          <w:szCs w:val="18"/>
        </w:rPr>
        <w:t>Mugu</w:t>
      </w:r>
      <w:proofErr w:type="spellEnd"/>
      <w:r w:rsidR="005D4F94" w:rsidRPr="00310524">
        <w:rPr>
          <w:rFonts w:ascii="Times New Roman" w:eastAsia="Times New Roman" w:hAnsi="Times New Roman" w:cs="Times New Roman"/>
          <w:sz w:val="18"/>
          <w:szCs w:val="18"/>
        </w:rPr>
        <w:t xml:space="preserve"> Lagoon, and </w:t>
      </w:r>
      <w:proofErr w:type="spellStart"/>
      <w:r w:rsidR="005D4F94" w:rsidRPr="00310524">
        <w:rPr>
          <w:rFonts w:ascii="Times New Roman" w:eastAsia="Times New Roman" w:hAnsi="Times New Roman" w:cs="Times New Roman"/>
          <w:sz w:val="18"/>
          <w:szCs w:val="18"/>
        </w:rPr>
        <w:t>Revolon</w:t>
      </w:r>
      <w:proofErr w:type="spellEnd"/>
      <w:r w:rsidR="005D4F94" w:rsidRPr="00310524">
        <w:rPr>
          <w:rFonts w:ascii="Times New Roman" w:eastAsia="Times New Roman" w:hAnsi="Times New Roman" w:cs="Times New Roman"/>
          <w:sz w:val="18"/>
          <w:szCs w:val="18"/>
        </w:rPr>
        <w:t xml:space="preserve"> Slough-</w:t>
      </w:r>
      <w:proofErr w:type="spellStart"/>
      <w:r w:rsidR="005D4F94" w:rsidRPr="00310524">
        <w:rPr>
          <w:rFonts w:ascii="Times New Roman" w:eastAsia="Times New Roman" w:hAnsi="Times New Roman" w:cs="Times New Roman"/>
          <w:sz w:val="18"/>
          <w:szCs w:val="18"/>
        </w:rPr>
        <w:t>Calleguas</w:t>
      </w:r>
      <w:proofErr w:type="spellEnd"/>
      <w:r w:rsidR="005D4F94" w:rsidRPr="00310524">
        <w:rPr>
          <w:rFonts w:ascii="Times New Roman" w:eastAsia="Times New Roman" w:hAnsi="Times New Roman" w:cs="Times New Roman"/>
          <w:sz w:val="18"/>
          <w:szCs w:val="18"/>
        </w:rPr>
        <w:t xml:space="preserve"> Creek hydrological units were used to estimate the amount of pyrethroids used in the study area. </w:t>
      </w:r>
    </w:p>
    <w:p w14:paraId="5BE23793" w14:textId="77777777" w:rsidR="00170E20" w:rsidRPr="00310524" w:rsidRDefault="00170E20">
      <w:pPr>
        <w:spacing w:line="240" w:lineRule="auto"/>
        <w:ind w:left="720"/>
        <w:rPr>
          <w:rFonts w:ascii="Times New Roman" w:eastAsia="Times New Roman" w:hAnsi="Times New Roman" w:cs="Times New Roman"/>
          <w:sz w:val="18"/>
          <w:szCs w:val="18"/>
        </w:rPr>
      </w:pPr>
    </w:p>
    <w:p w14:paraId="107AEE01" w14:textId="77777777" w:rsidR="00170E20" w:rsidRPr="00310524" w:rsidRDefault="005D4F94">
      <w:pPr>
        <w:pStyle w:val="Heading3"/>
        <w:rPr>
          <w:rFonts w:ascii="Times New Roman" w:eastAsia="Times New Roman" w:hAnsi="Times New Roman" w:cs="Times New Roman"/>
          <w:i/>
        </w:rPr>
      </w:pPr>
      <w:r w:rsidRPr="00310524">
        <w:rPr>
          <w:rFonts w:ascii="Times New Roman" w:eastAsia="Times New Roman" w:hAnsi="Times New Roman" w:cs="Times New Roman"/>
          <w:i/>
        </w:rPr>
        <w:t>Chemical Properties</w:t>
      </w:r>
    </w:p>
    <w:p w14:paraId="5709498B" w14:textId="57EF7895"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The environmental fate and transport of pyrethroids can be characterized by a strong affinity for soil and other organic material as well as strong environmental persistence</w:t>
      </w:r>
      <w:r w:rsidR="007214BD">
        <w:rPr>
          <w:rFonts w:ascii="Times New Roman" w:eastAsia="Times New Roman" w:hAnsi="Times New Roman" w:cs="Times New Roman"/>
          <w:sz w:val="24"/>
          <w:szCs w:val="24"/>
        </w:rPr>
        <w:t xml:space="preserve"> (</w:t>
      </w:r>
      <w:r w:rsidR="007214BD" w:rsidRPr="007214BD">
        <w:rPr>
          <w:rFonts w:ascii="Times New Roman" w:eastAsia="Times New Roman" w:hAnsi="Times New Roman" w:cs="Times New Roman"/>
          <w:b/>
          <w:sz w:val="24"/>
          <w:szCs w:val="24"/>
        </w:rPr>
        <w:t>Table 1</w:t>
      </w:r>
      <w:r w:rsidR="007214BD">
        <w:rPr>
          <w:rFonts w:ascii="Times New Roman" w:eastAsia="Times New Roman" w:hAnsi="Times New Roman" w:cs="Times New Roman"/>
          <w:sz w:val="24"/>
          <w:szCs w:val="24"/>
        </w:rPr>
        <w:t>)</w:t>
      </w:r>
      <w:r w:rsidRPr="00310524">
        <w:rPr>
          <w:rFonts w:ascii="Times New Roman" w:eastAsia="Times New Roman" w:hAnsi="Times New Roman" w:cs="Times New Roman"/>
          <w:sz w:val="24"/>
          <w:szCs w:val="24"/>
        </w:rPr>
        <w:t xml:space="preserve">. The </w:t>
      </w:r>
      <w:r w:rsidRPr="00310524">
        <w:rPr>
          <w:rFonts w:ascii="Times New Roman" w:eastAsia="Times New Roman" w:hAnsi="Times New Roman" w:cs="Times New Roman"/>
          <w:sz w:val="24"/>
          <w:szCs w:val="24"/>
        </w:rPr>
        <w:lastRenderedPageBreak/>
        <w:t>pyrethrins and synthetic pyrethroids are highly hydrophobic compounds that have an extremely low solubility in water. Pyrethroids have a high affinity to sorb to organic carbon in the soil, sediment, water, and dissolved particulate matter. This allows the pesticide to easily bind to sediment and be transported during erosion, irrigation, or runoff events. The synthetic pyrethroids are also resistant to degradation. The aerobic half-life values measured for bifenthrin is generally greater than 100 days (</w:t>
      </w:r>
      <w:proofErr w:type="spellStart"/>
      <w:r w:rsidRPr="00310524">
        <w:rPr>
          <w:rFonts w:ascii="Times New Roman" w:eastAsia="Times New Roman" w:hAnsi="Times New Roman" w:cs="Times New Roman"/>
          <w:sz w:val="24"/>
          <w:szCs w:val="24"/>
        </w:rPr>
        <w:t>Fecko</w:t>
      </w:r>
      <w:proofErr w:type="spellEnd"/>
      <w:r w:rsidRPr="00310524">
        <w:rPr>
          <w:rFonts w:ascii="Times New Roman" w:eastAsia="Times New Roman" w:hAnsi="Times New Roman" w:cs="Times New Roman"/>
          <w:sz w:val="24"/>
          <w:szCs w:val="24"/>
        </w:rPr>
        <w:t xml:space="preserve"> 1999). </w:t>
      </w:r>
      <w:proofErr w:type="gramStart"/>
      <w:r w:rsidRPr="00310524">
        <w:rPr>
          <w:rFonts w:ascii="Times New Roman" w:eastAsia="Times New Roman" w:hAnsi="Times New Roman" w:cs="Times New Roman"/>
          <w:sz w:val="24"/>
          <w:szCs w:val="24"/>
        </w:rPr>
        <w:t>However</w:t>
      </w:r>
      <w:proofErr w:type="gramEnd"/>
      <w:r w:rsidRPr="00310524">
        <w:rPr>
          <w:rFonts w:ascii="Times New Roman" w:eastAsia="Times New Roman" w:hAnsi="Times New Roman" w:cs="Times New Roman"/>
          <w:sz w:val="24"/>
          <w:szCs w:val="24"/>
        </w:rPr>
        <w:t xml:space="preserve"> the median aerobic soil </w:t>
      </w:r>
      <w:proofErr w:type="spellStart"/>
      <w:r w:rsidRPr="00310524">
        <w:rPr>
          <w:rFonts w:ascii="Times New Roman" w:eastAsia="Times New Roman" w:hAnsi="Times New Roman" w:cs="Times New Roman"/>
          <w:sz w:val="24"/>
          <w:szCs w:val="24"/>
        </w:rPr>
        <w:t>half life</w:t>
      </w:r>
      <w:proofErr w:type="spellEnd"/>
      <w:r w:rsidRPr="00310524">
        <w:rPr>
          <w:rFonts w:ascii="Times New Roman" w:eastAsia="Times New Roman" w:hAnsi="Times New Roman" w:cs="Times New Roman"/>
          <w:sz w:val="24"/>
          <w:szCs w:val="24"/>
        </w:rPr>
        <w:t xml:space="preserve"> for pyrethroids is about 23 days (Spurlock 2008). The bioconcentration factor for bifenthrin is high, therefore the compound is likely to bioaccumulate in aquatic species. Additionally, pyrethroids have a low volatilization potential and a very short atmospheric half-life. These properties allow pyrethroids to accumulate in the sediments; a potential problem for benthic species such as the tidewater goby.</w:t>
      </w:r>
    </w:p>
    <w:p w14:paraId="77726F4B" w14:textId="77777777" w:rsidR="00226E1E" w:rsidRDefault="00226E1E">
      <w:pPr>
        <w:spacing w:line="240" w:lineRule="auto"/>
        <w:rPr>
          <w:rFonts w:ascii="Times New Roman" w:eastAsia="Times New Roman" w:hAnsi="Times New Roman" w:cs="Times New Roman"/>
          <w:sz w:val="24"/>
          <w:szCs w:val="24"/>
        </w:rPr>
      </w:pPr>
    </w:p>
    <w:p w14:paraId="180815C3" w14:textId="77777777" w:rsidR="00170E20" w:rsidRPr="00310524" w:rsidRDefault="005D4F94">
      <w:pPr>
        <w:spacing w:line="240" w:lineRule="auto"/>
        <w:rPr>
          <w:rFonts w:ascii="Times New Roman" w:eastAsia="Times New Roman" w:hAnsi="Times New Roman" w:cs="Times New Roman"/>
          <w:sz w:val="18"/>
          <w:szCs w:val="18"/>
        </w:rPr>
      </w:pPr>
      <w:r w:rsidRPr="00310524">
        <w:rPr>
          <w:rFonts w:ascii="Times New Roman" w:eastAsia="Times New Roman" w:hAnsi="Times New Roman" w:cs="Times New Roman"/>
          <w:b/>
          <w:sz w:val="18"/>
          <w:szCs w:val="18"/>
        </w:rPr>
        <w:t xml:space="preserve">Table 1. Chemical and Physical Properties of the Pyrethroids used in the Study Area. </w:t>
      </w:r>
      <w:r w:rsidRPr="00310524">
        <w:rPr>
          <w:rFonts w:ascii="Times New Roman" w:eastAsia="Times New Roman" w:hAnsi="Times New Roman" w:cs="Times New Roman"/>
          <w:sz w:val="18"/>
          <w:szCs w:val="18"/>
        </w:rPr>
        <w:t xml:space="preserve">All data provided by CDPR unless otherwise indicated. </w:t>
      </w:r>
    </w:p>
    <w:tbl>
      <w:tblPr>
        <w:tblStyle w:val="a"/>
        <w:tblW w:w="9240" w:type="dxa"/>
        <w:tblBorders>
          <w:top w:val="nil"/>
          <w:left w:val="nil"/>
          <w:bottom w:val="nil"/>
          <w:right w:val="nil"/>
          <w:insideH w:val="nil"/>
          <w:insideV w:val="nil"/>
        </w:tblBorders>
        <w:tblLayout w:type="fixed"/>
        <w:tblLook w:val="0600" w:firstRow="0" w:lastRow="0" w:firstColumn="0" w:lastColumn="0" w:noHBand="1" w:noVBand="1"/>
      </w:tblPr>
      <w:tblGrid>
        <w:gridCol w:w="1575"/>
        <w:gridCol w:w="945"/>
        <w:gridCol w:w="1335"/>
        <w:gridCol w:w="1620"/>
        <w:gridCol w:w="990"/>
        <w:gridCol w:w="1350"/>
        <w:gridCol w:w="1425"/>
      </w:tblGrid>
      <w:tr w:rsidR="00170E20" w:rsidRPr="00310524" w14:paraId="0CE9BC10" w14:textId="77777777">
        <w:trPr>
          <w:trHeight w:val="1140"/>
        </w:trPr>
        <w:tc>
          <w:tcPr>
            <w:tcW w:w="1575" w:type="dxa"/>
            <w:tcBorders>
              <w:bottom w:val="single" w:sz="8" w:space="0" w:color="7F7F7F"/>
            </w:tcBorders>
            <w:shd w:val="clear" w:color="auto" w:fill="FFFFFF"/>
            <w:tcMar>
              <w:top w:w="100" w:type="dxa"/>
              <w:left w:w="100" w:type="dxa"/>
              <w:bottom w:w="100" w:type="dxa"/>
              <w:right w:w="100" w:type="dxa"/>
            </w:tcMar>
          </w:tcPr>
          <w:p w14:paraId="0937A3B9" w14:textId="77777777" w:rsidR="00170E20" w:rsidRPr="00310524" w:rsidRDefault="00170E20" w:rsidP="007214BD">
            <w:pPr>
              <w:spacing w:line="240" w:lineRule="auto"/>
              <w:ind w:right="120"/>
              <w:rPr>
                <w:rFonts w:ascii="Times New Roman" w:eastAsia="Times New Roman" w:hAnsi="Times New Roman" w:cs="Times New Roman"/>
                <w:sz w:val="20"/>
                <w:szCs w:val="20"/>
              </w:rPr>
            </w:pPr>
          </w:p>
        </w:tc>
        <w:tc>
          <w:tcPr>
            <w:tcW w:w="945" w:type="dxa"/>
            <w:tcBorders>
              <w:bottom w:val="single" w:sz="8" w:space="0" w:color="7F7F7F"/>
            </w:tcBorders>
            <w:shd w:val="clear" w:color="auto" w:fill="FFFFFF"/>
            <w:tcMar>
              <w:top w:w="100" w:type="dxa"/>
              <w:left w:w="100" w:type="dxa"/>
              <w:bottom w:w="100" w:type="dxa"/>
              <w:right w:w="100" w:type="dxa"/>
            </w:tcMar>
            <w:vAlign w:val="bottom"/>
          </w:tcPr>
          <w:p w14:paraId="3690A76E" w14:textId="77777777" w:rsidR="00170E20" w:rsidRPr="00310524" w:rsidRDefault="005D4F94">
            <w:pPr>
              <w:spacing w:line="240" w:lineRule="auto"/>
              <w:ind w:left="120" w:right="120"/>
              <w:jc w:val="center"/>
              <w:rPr>
                <w:rFonts w:ascii="Times New Roman" w:eastAsia="Times New Roman" w:hAnsi="Times New Roman" w:cs="Times New Roman"/>
                <w:i/>
                <w:sz w:val="20"/>
                <w:szCs w:val="20"/>
                <w:highlight w:val="white"/>
              </w:rPr>
            </w:pPr>
            <w:r w:rsidRPr="00310524">
              <w:rPr>
                <w:rFonts w:ascii="Times New Roman" w:eastAsia="Times New Roman" w:hAnsi="Times New Roman" w:cs="Times New Roman"/>
                <w:i/>
                <w:sz w:val="20"/>
                <w:szCs w:val="20"/>
                <w:highlight w:val="white"/>
              </w:rPr>
              <w:t>MW</w:t>
            </w:r>
          </w:p>
        </w:tc>
        <w:tc>
          <w:tcPr>
            <w:tcW w:w="1335" w:type="dxa"/>
            <w:tcBorders>
              <w:bottom w:val="single" w:sz="8" w:space="0" w:color="7F7F7F"/>
            </w:tcBorders>
            <w:shd w:val="clear" w:color="auto" w:fill="FFFFFF"/>
            <w:tcMar>
              <w:top w:w="100" w:type="dxa"/>
              <w:left w:w="100" w:type="dxa"/>
              <w:bottom w:w="100" w:type="dxa"/>
              <w:right w:w="100" w:type="dxa"/>
            </w:tcMar>
            <w:vAlign w:val="bottom"/>
          </w:tcPr>
          <w:p w14:paraId="6673FBC7" w14:textId="77777777" w:rsidR="00170E20" w:rsidRPr="00310524" w:rsidRDefault="005D4F94">
            <w:pPr>
              <w:spacing w:line="240" w:lineRule="auto"/>
              <w:ind w:left="120" w:right="120"/>
              <w:jc w:val="center"/>
              <w:rPr>
                <w:rFonts w:ascii="Times New Roman" w:eastAsia="Times New Roman" w:hAnsi="Times New Roman" w:cs="Times New Roman"/>
                <w:i/>
                <w:sz w:val="20"/>
                <w:szCs w:val="20"/>
                <w:highlight w:val="white"/>
                <w:vertAlign w:val="superscript"/>
              </w:rPr>
            </w:pPr>
            <w:r w:rsidRPr="00310524">
              <w:rPr>
                <w:rFonts w:ascii="Times New Roman" w:eastAsia="Times New Roman" w:hAnsi="Times New Roman" w:cs="Times New Roman"/>
                <w:i/>
                <w:sz w:val="20"/>
                <w:szCs w:val="20"/>
                <w:highlight w:val="white"/>
              </w:rPr>
              <w:t xml:space="preserve">Water Solubility (mg/L 25° </w:t>
            </w:r>
            <w:proofErr w:type="gramStart"/>
            <w:r w:rsidRPr="00310524">
              <w:rPr>
                <w:rFonts w:ascii="Times New Roman" w:eastAsia="Times New Roman" w:hAnsi="Times New Roman" w:cs="Times New Roman"/>
                <w:i/>
                <w:sz w:val="20"/>
                <w:szCs w:val="20"/>
                <w:highlight w:val="white"/>
              </w:rPr>
              <w:t>C)</w:t>
            </w:r>
            <w:r w:rsidRPr="00310524">
              <w:rPr>
                <w:rFonts w:ascii="Times New Roman" w:eastAsia="Times New Roman" w:hAnsi="Times New Roman" w:cs="Times New Roman"/>
                <w:i/>
                <w:sz w:val="20"/>
                <w:szCs w:val="20"/>
                <w:highlight w:val="white"/>
                <w:vertAlign w:val="superscript"/>
              </w:rPr>
              <w:t>a</w:t>
            </w:r>
            <w:proofErr w:type="gramEnd"/>
          </w:p>
        </w:tc>
        <w:tc>
          <w:tcPr>
            <w:tcW w:w="1620" w:type="dxa"/>
            <w:tcBorders>
              <w:bottom w:val="single" w:sz="8" w:space="0" w:color="7F7F7F"/>
            </w:tcBorders>
            <w:shd w:val="clear" w:color="auto" w:fill="FFFFFF"/>
            <w:tcMar>
              <w:top w:w="100" w:type="dxa"/>
              <w:left w:w="100" w:type="dxa"/>
              <w:bottom w:w="100" w:type="dxa"/>
              <w:right w:w="100" w:type="dxa"/>
            </w:tcMar>
            <w:vAlign w:val="bottom"/>
          </w:tcPr>
          <w:p w14:paraId="0A8EF2D0" w14:textId="77777777" w:rsidR="00170E20" w:rsidRPr="00310524" w:rsidRDefault="005D4F94">
            <w:pPr>
              <w:spacing w:line="240" w:lineRule="auto"/>
              <w:ind w:left="120" w:right="120"/>
              <w:jc w:val="center"/>
              <w:rPr>
                <w:rFonts w:ascii="Times New Roman" w:eastAsia="Times New Roman" w:hAnsi="Times New Roman" w:cs="Times New Roman"/>
                <w:i/>
                <w:sz w:val="20"/>
                <w:szCs w:val="20"/>
                <w:highlight w:val="white"/>
              </w:rPr>
            </w:pPr>
            <w:proofErr w:type="spellStart"/>
            <w:r w:rsidRPr="00310524">
              <w:rPr>
                <w:rFonts w:ascii="Times New Roman" w:eastAsia="Times New Roman" w:hAnsi="Times New Roman" w:cs="Times New Roman"/>
                <w:i/>
                <w:sz w:val="20"/>
                <w:szCs w:val="20"/>
                <w:highlight w:val="white"/>
              </w:rPr>
              <w:t>Kh</w:t>
            </w:r>
            <w:proofErr w:type="spellEnd"/>
            <w:r w:rsidRPr="00310524">
              <w:rPr>
                <w:rFonts w:ascii="Times New Roman" w:eastAsia="Times New Roman" w:hAnsi="Times New Roman" w:cs="Times New Roman"/>
                <w:i/>
                <w:sz w:val="20"/>
                <w:szCs w:val="20"/>
                <w:highlight w:val="white"/>
              </w:rPr>
              <w:t xml:space="preserve"> (</w:t>
            </w:r>
            <w:proofErr w:type="spellStart"/>
            <w:r w:rsidRPr="00310524">
              <w:rPr>
                <w:rFonts w:ascii="Times New Roman" w:eastAsia="Times New Roman" w:hAnsi="Times New Roman" w:cs="Times New Roman"/>
                <w:i/>
                <w:sz w:val="20"/>
                <w:szCs w:val="20"/>
                <w:highlight w:val="white"/>
              </w:rPr>
              <w:t>atm</w:t>
            </w:r>
            <w:proofErr w:type="spellEnd"/>
            <w:r w:rsidRPr="00310524">
              <w:rPr>
                <w:rFonts w:ascii="Times New Roman" w:eastAsia="Times New Roman" w:hAnsi="Times New Roman" w:cs="Times New Roman"/>
                <w:i/>
                <w:sz w:val="20"/>
                <w:szCs w:val="20"/>
                <w:highlight w:val="white"/>
              </w:rPr>
              <w:t xml:space="preserve"> m</w:t>
            </w:r>
            <w:r w:rsidRPr="00310524">
              <w:rPr>
                <w:rFonts w:ascii="Times New Roman" w:eastAsia="Times New Roman" w:hAnsi="Times New Roman" w:cs="Times New Roman"/>
                <w:i/>
                <w:sz w:val="20"/>
                <w:szCs w:val="20"/>
                <w:highlight w:val="white"/>
                <w:vertAlign w:val="superscript"/>
              </w:rPr>
              <w:t>3</w:t>
            </w:r>
            <w:r w:rsidRPr="00310524">
              <w:rPr>
                <w:rFonts w:ascii="Times New Roman" w:eastAsia="Times New Roman" w:hAnsi="Times New Roman" w:cs="Times New Roman"/>
                <w:i/>
                <w:sz w:val="20"/>
                <w:szCs w:val="20"/>
                <w:highlight w:val="white"/>
              </w:rPr>
              <w:t xml:space="preserve"> </w:t>
            </w:r>
            <w:proofErr w:type="spellStart"/>
            <w:r w:rsidRPr="00310524">
              <w:rPr>
                <w:rFonts w:ascii="Times New Roman" w:eastAsia="Times New Roman" w:hAnsi="Times New Roman" w:cs="Times New Roman"/>
                <w:i/>
                <w:sz w:val="20"/>
                <w:szCs w:val="20"/>
                <w:highlight w:val="white"/>
              </w:rPr>
              <w:t>mol</w:t>
            </w:r>
            <w:proofErr w:type="spellEnd"/>
            <w:r w:rsidRPr="00310524">
              <w:rPr>
                <w:rFonts w:ascii="Times New Roman" w:eastAsia="Times New Roman" w:hAnsi="Times New Roman" w:cs="Times New Roman"/>
                <w:i/>
                <w:sz w:val="20"/>
                <w:szCs w:val="20"/>
                <w:highlight w:val="white"/>
              </w:rPr>
              <w:t>)</w:t>
            </w:r>
          </w:p>
        </w:tc>
        <w:tc>
          <w:tcPr>
            <w:tcW w:w="990" w:type="dxa"/>
            <w:tcBorders>
              <w:bottom w:val="single" w:sz="8" w:space="0" w:color="7F7F7F"/>
            </w:tcBorders>
            <w:shd w:val="clear" w:color="auto" w:fill="FFFFFF"/>
            <w:tcMar>
              <w:top w:w="100" w:type="dxa"/>
              <w:left w:w="100" w:type="dxa"/>
              <w:bottom w:w="100" w:type="dxa"/>
              <w:right w:w="100" w:type="dxa"/>
            </w:tcMar>
            <w:vAlign w:val="bottom"/>
          </w:tcPr>
          <w:p w14:paraId="2905D028" w14:textId="77777777" w:rsidR="00170E20" w:rsidRPr="00310524" w:rsidRDefault="005D4F94">
            <w:pPr>
              <w:spacing w:line="240" w:lineRule="auto"/>
              <w:ind w:left="120" w:right="120"/>
              <w:jc w:val="center"/>
              <w:rPr>
                <w:rFonts w:ascii="Times New Roman" w:eastAsia="Times New Roman" w:hAnsi="Times New Roman" w:cs="Times New Roman"/>
                <w:i/>
                <w:sz w:val="20"/>
                <w:szCs w:val="20"/>
                <w:highlight w:val="white"/>
              </w:rPr>
            </w:pPr>
            <w:r w:rsidRPr="00310524">
              <w:rPr>
                <w:rFonts w:ascii="Times New Roman" w:eastAsia="Times New Roman" w:hAnsi="Times New Roman" w:cs="Times New Roman"/>
                <w:i/>
                <w:sz w:val="20"/>
                <w:szCs w:val="20"/>
                <w:highlight w:val="white"/>
              </w:rPr>
              <w:t xml:space="preserve">Log </w:t>
            </w:r>
            <w:proofErr w:type="spellStart"/>
            <w:r w:rsidRPr="00310524">
              <w:rPr>
                <w:rFonts w:ascii="Times New Roman" w:eastAsia="Times New Roman" w:hAnsi="Times New Roman" w:cs="Times New Roman"/>
                <w:i/>
                <w:sz w:val="20"/>
                <w:szCs w:val="20"/>
                <w:highlight w:val="white"/>
              </w:rPr>
              <w:t>Kow</w:t>
            </w:r>
            <w:proofErr w:type="spellEnd"/>
          </w:p>
        </w:tc>
        <w:tc>
          <w:tcPr>
            <w:tcW w:w="1350" w:type="dxa"/>
            <w:tcBorders>
              <w:bottom w:val="single" w:sz="8" w:space="0" w:color="7F7F7F"/>
            </w:tcBorders>
            <w:shd w:val="clear" w:color="auto" w:fill="FFFFFF"/>
            <w:tcMar>
              <w:top w:w="100" w:type="dxa"/>
              <w:left w:w="100" w:type="dxa"/>
              <w:bottom w:w="100" w:type="dxa"/>
              <w:right w:w="100" w:type="dxa"/>
            </w:tcMar>
            <w:vAlign w:val="bottom"/>
          </w:tcPr>
          <w:p w14:paraId="5F0F6A04" w14:textId="77777777" w:rsidR="00170E20" w:rsidRPr="00310524" w:rsidRDefault="005D4F94">
            <w:pPr>
              <w:spacing w:line="240" w:lineRule="auto"/>
              <w:ind w:left="120" w:right="120"/>
              <w:jc w:val="center"/>
              <w:rPr>
                <w:rFonts w:ascii="Times New Roman" w:eastAsia="Times New Roman" w:hAnsi="Times New Roman" w:cs="Times New Roman"/>
                <w:i/>
                <w:sz w:val="20"/>
                <w:szCs w:val="20"/>
                <w:highlight w:val="white"/>
                <w:vertAlign w:val="superscript"/>
              </w:rPr>
            </w:pPr>
            <w:r w:rsidRPr="00310524">
              <w:rPr>
                <w:rFonts w:ascii="Times New Roman" w:eastAsia="Times New Roman" w:hAnsi="Times New Roman" w:cs="Times New Roman"/>
                <w:i/>
                <w:sz w:val="20"/>
                <w:szCs w:val="20"/>
                <w:highlight w:val="white"/>
              </w:rPr>
              <w:t xml:space="preserve">BCF (bluegill </w:t>
            </w:r>
            <w:proofErr w:type="gramStart"/>
            <w:r w:rsidRPr="00310524">
              <w:rPr>
                <w:rFonts w:ascii="Times New Roman" w:eastAsia="Times New Roman" w:hAnsi="Times New Roman" w:cs="Times New Roman"/>
                <w:i/>
                <w:sz w:val="20"/>
                <w:szCs w:val="20"/>
                <w:highlight w:val="white"/>
              </w:rPr>
              <w:t>sunfish)</w:t>
            </w:r>
            <w:r w:rsidRPr="00310524">
              <w:rPr>
                <w:rFonts w:ascii="Times New Roman" w:eastAsia="Times New Roman" w:hAnsi="Times New Roman" w:cs="Times New Roman"/>
                <w:i/>
                <w:sz w:val="20"/>
                <w:szCs w:val="20"/>
                <w:highlight w:val="white"/>
                <w:vertAlign w:val="superscript"/>
              </w:rPr>
              <w:t>b</w:t>
            </w:r>
            <w:proofErr w:type="gramEnd"/>
          </w:p>
        </w:tc>
        <w:tc>
          <w:tcPr>
            <w:tcW w:w="1425" w:type="dxa"/>
            <w:tcBorders>
              <w:bottom w:val="single" w:sz="8" w:space="0" w:color="7F7F7F"/>
            </w:tcBorders>
            <w:shd w:val="clear" w:color="auto" w:fill="FFFFFF"/>
            <w:tcMar>
              <w:top w:w="100" w:type="dxa"/>
              <w:left w:w="100" w:type="dxa"/>
              <w:bottom w:w="100" w:type="dxa"/>
              <w:right w:w="100" w:type="dxa"/>
            </w:tcMar>
            <w:vAlign w:val="bottom"/>
          </w:tcPr>
          <w:p w14:paraId="6D631356" w14:textId="77777777" w:rsidR="00170E20" w:rsidRPr="00310524" w:rsidRDefault="005D4F94">
            <w:pPr>
              <w:spacing w:line="240" w:lineRule="auto"/>
              <w:ind w:left="120" w:right="120"/>
              <w:jc w:val="center"/>
              <w:rPr>
                <w:rFonts w:ascii="Times New Roman" w:eastAsia="Times New Roman" w:hAnsi="Times New Roman" w:cs="Times New Roman"/>
                <w:i/>
                <w:sz w:val="20"/>
                <w:szCs w:val="20"/>
                <w:highlight w:val="white"/>
              </w:rPr>
            </w:pPr>
            <w:r w:rsidRPr="00310524">
              <w:rPr>
                <w:rFonts w:ascii="Times New Roman" w:eastAsia="Times New Roman" w:hAnsi="Times New Roman" w:cs="Times New Roman"/>
                <w:i/>
                <w:sz w:val="20"/>
                <w:szCs w:val="20"/>
                <w:highlight w:val="white"/>
              </w:rPr>
              <w:t xml:space="preserve">Soil Adsorption </w:t>
            </w:r>
            <w:proofErr w:type="spellStart"/>
            <w:r w:rsidRPr="00310524">
              <w:rPr>
                <w:rFonts w:ascii="Times New Roman" w:eastAsia="Times New Roman" w:hAnsi="Times New Roman" w:cs="Times New Roman"/>
                <w:i/>
                <w:sz w:val="20"/>
                <w:szCs w:val="20"/>
                <w:highlight w:val="white"/>
              </w:rPr>
              <w:t>Koc</w:t>
            </w:r>
            <w:proofErr w:type="spellEnd"/>
          </w:p>
        </w:tc>
      </w:tr>
      <w:tr w:rsidR="00170E20" w:rsidRPr="00310524" w14:paraId="03FB8991" w14:textId="77777777">
        <w:trPr>
          <w:trHeight w:val="340"/>
        </w:trPr>
        <w:tc>
          <w:tcPr>
            <w:tcW w:w="1575" w:type="dxa"/>
            <w:tcBorders>
              <w:right w:val="single" w:sz="8" w:space="0" w:color="7F7F7F"/>
            </w:tcBorders>
            <w:shd w:val="clear" w:color="auto" w:fill="FFFFFF"/>
            <w:tcMar>
              <w:top w:w="100" w:type="dxa"/>
              <w:left w:w="100" w:type="dxa"/>
              <w:bottom w:w="100" w:type="dxa"/>
              <w:right w:w="100" w:type="dxa"/>
            </w:tcMar>
          </w:tcPr>
          <w:p w14:paraId="7DE061FD"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r w:rsidRPr="00310524">
              <w:rPr>
                <w:rFonts w:ascii="Times New Roman" w:eastAsia="Times New Roman" w:hAnsi="Times New Roman" w:cs="Times New Roman"/>
                <w:sz w:val="20"/>
                <w:szCs w:val="20"/>
                <w:highlight w:val="white"/>
              </w:rPr>
              <w:t>Bifenthrin</w:t>
            </w:r>
          </w:p>
        </w:tc>
        <w:tc>
          <w:tcPr>
            <w:tcW w:w="945" w:type="dxa"/>
            <w:shd w:val="clear" w:color="auto" w:fill="F2F2F2"/>
            <w:tcMar>
              <w:top w:w="100" w:type="dxa"/>
              <w:left w:w="100" w:type="dxa"/>
              <w:bottom w:w="100" w:type="dxa"/>
              <w:right w:w="100" w:type="dxa"/>
            </w:tcMar>
          </w:tcPr>
          <w:p w14:paraId="241C1F3F"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422.9</w:t>
            </w:r>
          </w:p>
        </w:tc>
        <w:tc>
          <w:tcPr>
            <w:tcW w:w="1335" w:type="dxa"/>
            <w:shd w:val="clear" w:color="auto" w:fill="F2F2F2"/>
            <w:tcMar>
              <w:top w:w="100" w:type="dxa"/>
              <w:left w:w="100" w:type="dxa"/>
              <w:bottom w:w="100" w:type="dxa"/>
              <w:right w:w="100" w:type="dxa"/>
            </w:tcMar>
          </w:tcPr>
          <w:p w14:paraId="65E782EF"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0.1</w:t>
            </w:r>
          </w:p>
        </w:tc>
        <w:tc>
          <w:tcPr>
            <w:tcW w:w="1620" w:type="dxa"/>
            <w:shd w:val="clear" w:color="auto" w:fill="F2F2F2"/>
            <w:tcMar>
              <w:top w:w="100" w:type="dxa"/>
              <w:left w:w="100" w:type="dxa"/>
              <w:bottom w:w="100" w:type="dxa"/>
              <w:right w:w="100" w:type="dxa"/>
            </w:tcMar>
          </w:tcPr>
          <w:p w14:paraId="7D96FCDD"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7.20E-03</w:t>
            </w:r>
          </w:p>
        </w:tc>
        <w:tc>
          <w:tcPr>
            <w:tcW w:w="990" w:type="dxa"/>
            <w:shd w:val="clear" w:color="auto" w:fill="F2F2F2"/>
            <w:tcMar>
              <w:top w:w="100" w:type="dxa"/>
              <w:left w:w="100" w:type="dxa"/>
              <w:bottom w:w="100" w:type="dxa"/>
              <w:right w:w="100" w:type="dxa"/>
            </w:tcMar>
          </w:tcPr>
          <w:p w14:paraId="246F95A9"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6.00</w:t>
            </w:r>
          </w:p>
        </w:tc>
        <w:tc>
          <w:tcPr>
            <w:tcW w:w="1350" w:type="dxa"/>
            <w:shd w:val="clear" w:color="auto" w:fill="F2F2F2"/>
            <w:tcMar>
              <w:top w:w="100" w:type="dxa"/>
              <w:left w:w="100" w:type="dxa"/>
              <w:bottom w:w="100" w:type="dxa"/>
              <w:right w:w="100" w:type="dxa"/>
            </w:tcMar>
          </w:tcPr>
          <w:p w14:paraId="67CD331B"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6090</w:t>
            </w:r>
          </w:p>
        </w:tc>
        <w:tc>
          <w:tcPr>
            <w:tcW w:w="1425" w:type="dxa"/>
            <w:shd w:val="clear" w:color="auto" w:fill="F2F2F2"/>
            <w:tcMar>
              <w:top w:w="100" w:type="dxa"/>
              <w:left w:w="100" w:type="dxa"/>
              <w:bottom w:w="100" w:type="dxa"/>
              <w:right w:w="100" w:type="dxa"/>
            </w:tcMar>
          </w:tcPr>
          <w:p w14:paraId="462E9449"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5.37</w:t>
            </w:r>
          </w:p>
        </w:tc>
      </w:tr>
      <w:tr w:rsidR="00170E20" w:rsidRPr="00310524" w14:paraId="3A1F7939" w14:textId="77777777">
        <w:trPr>
          <w:trHeight w:val="460"/>
        </w:trPr>
        <w:tc>
          <w:tcPr>
            <w:tcW w:w="1575" w:type="dxa"/>
            <w:tcBorders>
              <w:right w:val="single" w:sz="8" w:space="0" w:color="7F7F7F"/>
            </w:tcBorders>
            <w:shd w:val="clear" w:color="auto" w:fill="FFFFFF"/>
            <w:tcMar>
              <w:top w:w="100" w:type="dxa"/>
              <w:left w:w="100" w:type="dxa"/>
              <w:bottom w:w="100" w:type="dxa"/>
              <w:right w:w="100" w:type="dxa"/>
            </w:tcMar>
          </w:tcPr>
          <w:p w14:paraId="63D9395E"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proofErr w:type="spellStart"/>
            <w:r w:rsidRPr="00310524">
              <w:rPr>
                <w:rFonts w:ascii="Times New Roman" w:eastAsia="Times New Roman" w:hAnsi="Times New Roman" w:cs="Times New Roman"/>
                <w:sz w:val="20"/>
                <w:szCs w:val="20"/>
                <w:highlight w:val="white"/>
              </w:rPr>
              <w:t>Cyfluthrin</w:t>
            </w:r>
            <w:proofErr w:type="spellEnd"/>
          </w:p>
        </w:tc>
        <w:tc>
          <w:tcPr>
            <w:tcW w:w="945" w:type="dxa"/>
            <w:tcMar>
              <w:top w:w="100" w:type="dxa"/>
              <w:left w:w="100" w:type="dxa"/>
              <w:bottom w:w="100" w:type="dxa"/>
              <w:right w:w="100" w:type="dxa"/>
            </w:tcMar>
          </w:tcPr>
          <w:p w14:paraId="1F7AC61C"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434.3</w:t>
            </w:r>
          </w:p>
        </w:tc>
        <w:tc>
          <w:tcPr>
            <w:tcW w:w="1335" w:type="dxa"/>
            <w:tcMar>
              <w:top w:w="100" w:type="dxa"/>
              <w:left w:w="100" w:type="dxa"/>
              <w:bottom w:w="100" w:type="dxa"/>
              <w:right w:w="100" w:type="dxa"/>
            </w:tcMar>
          </w:tcPr>
          <w:p w14:paraId="440ED66C"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0.002</w:t>
            </w:r>
          </w:p>
        </w:tc>
        <w:tc>
          <w:tcPr>
            <w:tcW w:w="1620" w:type="dxa"/>
            <w:tcMar>
              <w:top w:w="100" w:type="dxa"/>
              <w:left w:w="100" w:type="dxa"/>
              <w:bottom w:w="100" w:type="dxa"/>
              <w:right w:w="100" w:type="dxa"/>
            </w:tcMar>
          </w:tcPr>
          <w:p w14:paraId="0844B432"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3.70E-06</w:t>
            </w:r>
          </w:p>
        </w:tc>
        <w:tc>
          <w:tcPr>
            <w:tcW w:w="990" w:type="dxa"/>
            <w:tcMar>
              <w:top w:w="100" w:type="dxa"/>
              <w:left w:w="100" w:type="dxa"/>
              <w:bottom w:w="100" w:type="dxa"/>
              <w:right w:w="100" w:type="dxa"/>
            </w:tcMar>
          </w:tcPr>
          <w:p w14:paraId="4EC1962A"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5.74</w:t>
            </w:r>
          </w:p>
        </w:tc>
        <w:tc>
          <w:tcPr>
            <w:tcW w:w="1350" w:type="dxa"/>
            <w:tcMar>
              <w:top w:w="100" w:type="dxa"/>
              <w:left w:w="100" w:type="dxa"/>
              <w:bottom w:w="100" w:type="dxa"/>
              <w:right w:w="100" w:type="dxa"/>
            </w:tcMar>
          </w:tcPr>
          <w:p w14:paraId="73AAA558"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719</w:t>
            </w:r>
          </w:p>
        </w:tc>
        <w:tc>
          <w:tcPr>
            <w:tcW w:w="1425" w:type="dxa"/>
            <w:tcMar>
              <w:top w:w="100" w:type="dxa"/>
              <w:left w:w="100" w:type="dxa"/>
              <w:bottom w:w="100" w:type="dxa"/>
              <w:right w:w="100" w:type="dxa"/>
            </w:tcMar>
          </w:tcPr>
          <w:p w14:paraId="749603DF"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4.80</w:t>
            </w:r>
          </w:p>
        </w:tc>
      </w:tr>
      <w:tr w:rsidR="00170E20" w:rsidRPr="00310524" w14:paraId="5F5D0632" w14:textId="77777777">
        <w:trPr>
          <w:trHeight w:val="600"/>
        </w:trPr>
        <w:tc>
          <w:tcPr>
            <w:tcW w:w="1575" w:type="dxa"/>
            <w:tcBorders>
              <w:right w:val="single" w:sz="8" w:space="0" w:color="7F7F7F"/>
            </w:tcBorders>
            <w:shd w:val="clear" w:color="auto" w:fill="FFFFFF"/>
            <w:tcMar>
              <w:top w:w="100" w:type="dxa"/>
              <w:left w:w="100" w:type="dxa"/>
              <w:bottom w:w="100" w:type="dxa"/>
              <w:right w:w="100" w:type="dxa"/>
            </w:tcMar>
          </w:tcPr>
          <w:p w14:paraId="647A593F"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proofErr w:type="spellStart"/>
            <w:r w:rsidRPr="00310524">
              <w:rPr>
                <w:rFonts w:ascii="Times New Roman" w:eastAsia="Times New Roman" w:hAnsi="Times New Roman" w:cs="Times New Roman"/>
                <w:sz w:val="20"/>
                <w:szCs w:val="20"/>
                <w:highlight w:val="white"/>
              </w:rPr>
              <w:t>Cypermethrin</w:t>
            </w:r>
            <w:proofErr w:type="spellEnd"/>
          </w:p>
        </w:tc>
        <w:tc>
          <w:tcPr>
            <w:tcW w:w="945" w:type="dxa"/>
            <w:shd w:val="clear" w:color="auto" w:fill="F2F2F2"/>
            <w:tcMar>
              <w:top w:w="100" w:type="dxa"/>
              <w:left w:w="100" w:type="dxa"/>
              <w:bottom w:w="100" w:type="dxa"/>
              <w:right w:w="100" w:type="dxa"/>
            </w:tcMar>
          </w:tcPr>
          <w:p w14:paraId="44BEA20C"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416.3</w:t>
            </w:r>
          </w:p>
        </w:tc>
        <w:tc>
          <w:tcPr>
            <w:tcW w:w="1335" w:type="dxa"/>
            <w:shd w:val="clear" w:color="auto" w:fill="F2F2F2"/>
            <w:tcMar>
              <w:top w:w="100" w:type="dxa"/>
              <w:left w:w="100" w:type="dxa"/>
              <w:bottom w:w="100" w:type="dxa"/>
              <w:right w:w="100" w:type="dxa"/>
            </w:tcMar>
          </w:tcPr>
          <w:p w14:paraId="605B903B"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0.004</w:t>
            </w:r>
          </w:p>
        </w:tc>
        <w:tc>
          <w:tcPr>
            <w:tcW w:w="1620" w:type="dxa"/>
            <w:shd w:val="clear" w:color="auto" w:fill="F2F2F2"/>
            <w:tcMar>
              <w:top w:w="100" w:type="dxa"/>
              <w:left w:w="100" w:type="dxa"/>
              <w:bottom w:w="100" w:type="dxa"/>
              <w:right w:w="100" w:type="dxa"/>
            </w:tcMar>
          </w:tcPr>
          <w:p w14:paraId="33B91A86"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3.40E-07</w:t>
            </w:r>
          </w:p>
        </w:tc>
        <w:tc>
          <w:tcPr>
            <w:tcW w:w="990" w:type="dxa"/>
            <w:shd w:val="clear" w:color="auto" w:fill="F2F2F2"/>
            <w:tcMar>
              <w:top w:w="100" w:type="dxa"/>
              <w:left w:w="100" w:type="dxa"/>
              <w:bottom w:w="100" w:type="dxa"/>
              <w:right w:w="100" w:type="dxa"/>
            </w:tcMar>
          </w:tcPr>
          <w:p w14:paraId="5F3B6084"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6.60</w:t>
            </w:r>
          </w:p>
        </w:tc>
        <w:tc>
          <w:tcPr>
            <w:tcW w:w="1350" w:type="dxa"/>
            <w:shd w:val="clear" w:color="auto" w:fill="F2F2F2"/>
            <w:tcMar>
              <w:top w:w="100" w:type="dxa"/>
              <w:left w:w="100" w:type="dxa"/>
              <w:bottom w:w="100" w:type="dxa"/>
              <w:right w:w="100" w:type="dxa"/>
            </w:tcMar>
          </w:tcPr>
          <w:p w14:paraId="03F29FFE"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597</w:t>
            </w:r>
          </w:p>
        </w:tc>
        <w:tc>
          <w:tcPr>
            <w:tcW w:w="1425" w:type="dxa"/>
            <w:shd w:val="clear" w:color="auto" w:fill="F2F2F2"/>
            <w:tcMar>
              <w:top w:w="100" w:type="dxa"/>
              <w:left w:w="100" w:type="dxa"/>
              <w:bottom w:w="100" w:type="dxa"/>
              <w:right w:w="100" w:type="dxa"/>
            </w:tcMar>
          </w:tcPr>
          <w:p w14:paraId="0DF0864E"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5.49</w:t>
            </w:r>
          </w:p>
        </w:tc>
      </w:tr>
      <w:tr w:rsidR="00170E20" w:rsidRPr="00310524" w14:paraId="0847449A" w14:textId="77777777">
        <w:trPr>
          <w:trHeight w:val="480"/>
        </w:trPr>
        <w:tc>
          <w:tcPr>
            <w:tcW w:w="1575" w:type="dxa"/>
            <w:tcBorders>
              <w:right w:val="single" w:sz="8" w:space="0" w:color="7F7F7F"/>
            </w:tcBorders>
            <w:shd w:val="clear" w:color="auto" w:fill="FFFFFF"/>
            <w:tcMar>
              <w:top w:w="100" w:type="dxa"/>
              <w:left w:w="100" w:type="dxa"/>
              <w:bottom w:w="100" w:type="dxa"/>
              <w:right w:w="100" w:type="dxa"/>
            </w:tcMar>
          </w:tcPr>
          <w:p w14:paraId="0EC39E48"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proofErr w:type="spellStart"/>
            <w:r w:rsidRPr="00310524">
              <w:rPr>
                <w:rFonts w:ascii="Times New Roman" w:eastAsia="Times New Roman" w:hAnsi="Times New Roman" w:cs="Times New Roman"/>
                <w:sz w:val="20"/>
                <w:szCs w:val="20"/>
                <w:highlight w:val="white"/>
              </w:rPr>
              <w:t>Esfenvalerate</w:t>
            </w:r>
            <w:proofErr w:type="spellEnd"/>
          </w:p>
        </w:tc>
        <w:tc>
          <w:tcPr>
            <w:tcW w:w="945" w:type="dxa"/>
            <w:tcMar>
              <w:top w:w="100" w:type="dxa"/>
              <w:left w:w="100" w:type="dxa"/>
              <w:bottom w:w="100" w:type="dxa"/>
              <w:right w:w="100" w:type="dxa"/>
            </w:tcMar>
          </w:tcPr>
          <w:p w14:paraId="019BFC23"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419.9</w:t>
            </w:r>
          </w:p>
        </w:tc>
        <w:tc>
          <w:tcPr>
            <w:tcW w:w="1335" w:type="dxa"/>
            <w:tcMar>
              <w:top w:w="100" w:type="dxa"/>
              <w:left w:w="100" w:type="dxa"/>
              <w:bottom w:w="100" w:type="dxa"/>
              <w:right w:w="100" w:type="dxa"/>
            </w:tcMar>
          </w:tcPr>
          <w:p w14:paraId="5824853C"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0.006</w:t>
            </w:r>
          </w:p>
        </w:tc>
        <w:tc>
          <w:tcPr>
            <w:tcW w:w="1620" w:type="dxa"/>
            <w:tcMar>
              <w:top w:w="100" w:type="dxa"/>
              <w:left w:w="100" w:type="dxa"/>
              <w:bottom w:w="100" w:type="dxa"/>
              <w:right w:w="100" w:type="dxa"/>
            </w:tcMar>
          </w:tcPr>
          <w:p w14:paraId="0C182352"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1.40E-07</w:t>
            </w:r>
          </w:p>
        </w:tc>
        <w:tc>
          <w:tcPr>
            <w:tcW w:w="990" w:type="dxa"/>
            <w:tcMar>
              <w:top w:w="100" w:type="dxa"/>
              <w:left w:w="100" w:type="dxa"/>
              <w:bottom w:w="100" w:type="dxa"/>
              <w:right w:w="100" w:type="dxa"/>
            </w:tcMar>
          </w:tcPr>
          <w:p w14:paraId="150FBB89"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4.00</w:t>
            </w:r>
          </w:p>
        </w:tc>
        <w:tc>
          <w:tcPr>
            <w:tcW w:w="1350" w:type="dxa"/>
            <w:tcMar>
              <w:top w:w="100" w:type="dxa"/>
              <w:left w:w="100" w:type="dxa"/>
              <w:bottom w:w="100" w:type="dxa"/>
              <w:right w:w="100" w:type="dxa"/>
            </w:tcMar>
          </w:tcPr>
          <w:p w14:paraId="179A39D5"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2390</w:t>
            </w:r>
          </w:p>
        </w:tc>
        <w:tc>
          <w:tcPr>
            <w:tcW w:w="1425" w:type="dxa"/>
            <w:tcMar>
              <w:top w:w="100" w:type="dxa"/>
              <w:left w:w="100" w:type="dxa"/>
              <w:bottom w:w="100" w:type="dxa"/>
              <w:right w:w="100" w:type="dxa"/>
            </w:tcMar>
          </w:tcPr>
          <w:p w14:paraId="12A969A9"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4.00</w:t>
            </w:r>
          </w:p>
        </w:tc>
      </w:tr>
      <w:tr w:rsidR="00170E20" w:rsidRPr="00310524" w14:paraId="5C650D3B" w14:textId="77777777">
        <w:trPr>
          <w:trHeight w:val="600"/>
        </w:trPr>
        <w:tc>
          <w:tcPr>
            <w:tcW w:w="1575" w:type="dxa"/>
            <w:tcBorders>
              <w:right w:val="single" w:sz="8" w:space="0" w:color="7F7F7F"/>
            </w:tcBorders>
            <w:shd w:val="clear" w:color="auto" w:fill="FFFFFF"/>
            <w:tcMar>
              <w:top w:w="100" w:type="dxa"/>
              <w:left w:w="100" w:type="dxa"/>
              <w:bottom w:w="100" w:type="dxa"/>
              <w:right w:w="100" w:type="dxa"/>
            </w:tcMar>
          </w:tcPr>
          <w:p w14:paraId="311F7102"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proofErr w:type="spellStart"/>
            <w:r w:rsidRPr="00310524">
              <w:rPr>
                <w:rFonts w:ascii="Times New Roman" w:eastAsia="Times New Roman" w:hAnsi="Times New Roman" w:cs="Times New Roman"/>
                <w:sz w:val="20"/>
                <w:szCs w:val="20"/>
                <w:highlight w:val="white"/>
              </w:rPr>
              <w:t>Fenpropathrin</w:t>
            </w:r>
            <w:proofErr w:type="spellEnd"/>
          </w:p>
        </w:tc>
        <w:tc>
          <w:tcPr>
            <w:tcW w:w="945" w:type="dxa"/>
            <w:shd w:val="clear" w:color="auto" w:fill="F2F2F2"/>
            <w:tcMar>
              <w:top w:w="100" w:type="dxa"/>
              <w:left w:w="100" w:type="dxa"/>
              <w:bottom w:w="100" w:type="dxa"/>
              <w:right w:w="100" w:type="dxa"/>
            </w:tcMar>
          </w:tcPr>
          <w:p w14:paraId="1E3F21E3"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349.4</w:t>
            </w:r>
          </w:p>
        </w:tc>
        <w:tc>
          <w:tcPr>
            <w:tcW w:w="1335" w:type="dxa"/>
            <w:shd w:val="clear" w:color="auto" w:fill="F2F2F2"/>
            <w:tcMar>
              <w:top w:w="100" w:type="dxa"/>
              <w:left w:w="100" w:type="dxa"/>
              <w:bottom w:w="100" w:type="dxa"/>
              <w:right w:w="100" w:type="dxa"/>
            </w:tcMar>
          </w:tcPr>
          <w:p w14:paraId="7703B1DE"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0.014</w:t>
            </w:r>
          </w:p>
        </w:tc>
        <w:tc>
          <w:tcPr>
            <w:tcW w:w="1620" w:type="dxa"/>
            <w:shd w:val="clear" w:color="auto" w:fill="F2F2F2"/>
            <w:tcMar>
              <w:top w:w="100" w:type="dxa"/>
              <w:left w:w="100" w:type="dxa"/>
              <w:bottom w:w="100" w:type="dxa"/>
              <w:right w:w="100" w:type="dxa"/>
            </w:tcMar>
          </w:tcPr>
          <w:p w14:paraId="63CB7886"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6.30E-07</w:t>
            </w:r>
          </w:p>
        </w:tc>
        <w:tc>
          <w:tcPr>
            <w:tcW w:w="990" w:type="dxa"/>
            <w:shd w:val="clear" w:color="auto" w:fill="F2F2F2"/>
            <w:tcMar>
              <w:top w:w="100" w:type="dxa"/>
              <w:left w:w="100" w:type="dxa"/>
              <w:bottom w:w="100" w:type="dxa"/>
              <w:right w:w="100" w:type="dxa"/>
            </w:tcMar>
          </w:tcPr>
          <w:p w14:paraId="0FDB95A8"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6.00</w:t>
            </w:r>
          </w:p>
        </w:tc>
        <w:tc>
          <w:tcPr>
            <w:tcW w:w="1350" w:type="dxa"/>
            <w:shd w:val="clear" w:color="auto" w:fill="F2F2F2"/>
            <w:tcMar>
              <w:top w:w="100" w:type="dxa"/>
              <w:left w:w="100" w:type="dxa"/>
              <w:bottom w:w="100" w:type="dxa"/>
              <w:right w:w="100" w:type="dxa"/>
            </w:tcMar>
          </w:tcPr>
          <w:p w14:paraId="760913DD"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359</w:t>
            </w:r>
          </w:p>
        </w:tc>
        <w:tc>
          <w:tcPr>
            <w:tcW w:w="1425" w:type="dxa"/>
            <w:shd w:val="clear" w:color="auto" w:fill="F2F2F2"/>
            <w:tcMar>
              <w:top w:w="100" w:type="dxa"/>
              <w:left w:w="100" w:type="dxa"/>
              <w:bottom w:w="100" w:type="dxa"/>
              <w:right w:w="100" w:type="dxa"/>
            </w:tcMar>
          </w:tcPr>
          <w:p w14:paraId="554BEA36"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4.63</w:t>
            </w:r>
          </w:p>
        </w:tc>
      </w:tr>
      <w:tr w:rsidR="00170E20" w:rsidRPr="00310524" w14:paraId="42746EEC" w14:textId="77777777">
        <w:trPr>
          <w:trHeight w:val="560"/>
        </w:trPr>
        <w:tc>
          <w:tcPr>
            <w:tcW w:w="1575" w:type="dxa"/>
            <w:tcBorders>
              <w:right w:val="single" w:sz="8" w:space="0" w:color="7F7F7F"/>
            </w:tcBorders>
            <w:shd w:val="clear" w:color="auto" w:fill="FFFFFF"/>
            <w:tcMar>
              <w:top w:w="100" w:type="dxa"/>
              <w:left w:w="100" w:type="dxa"/>
              <w:bottom w:w="100" w:type="dxa"/>
              <w:right w:w="100" w:type="dxa"/>
            </w:tcMar>
          </w:tcPr>
          <w:p w14:paraId="2BB974B0"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proofErr w:type="spellStart"/>
            <w:r w:rsidRPr="00310524">
              <w:rPr>
                <w:rFonts w:ascii="Times New Roman" w:eastAsia="Times New Roman" w:hAnsi="Times New Roman" w:cs="Times New Roman"/>
                <w:sz w:val="20"/>
                <w:szCs w:val="20"/>
                <w:highlight w:val="white"/>
              </w:rPr>
              <w:t>Cyhalothrin</w:t>
            </w:r>
            <w:proofErr w:type="spellEnd"/>
          </w:p>
        </w:tc>
        <w:tc>
          <w:tcPr>
            <w:tcW w:w="945" w:type="dxa"/>
            <w:tcMar>
              <w:top w:w="100" w:type="dxa"/>
              <w:left w:w="100" w:type="dxa"/>
              <w:bottom w:w="100" w:type="dxa"/>
              <w:right w:w="100" w:type="dxa"/>
            </w:tcMar>
          </w:tcPr>
          <w:p w14:paraId="04BE5F21"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449.9</w:t>
            </w:r>
          </w:p>
        </w:tc>
        <w:tc>
          <w:tcPr>
            <w:tcW w:w="1335" w:type="dxa"/>
            <w:tcMar>
              <w:top w:w="100" w:type="dxa"/>
              <w:left w:w="100" w:type="dxa"/>
              <w:bottom w:w="100" w:type="dxa"/>
              <w:right w:w="100" w:type="dxa"/>
            </w:tcMar>
          </w:tcPr>
          <w:p w14:paraId="16542AA4"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0.003</w:t>
            </w:r>
          </w:p>
        </w:tc>
        <w:tc>
          <w:tcPr>
            <w:tcW w:w="1620" w:type="dxa"/>
            <w:tcMar>
              <w:top w:w="100" w:type="dxa"/>
              <w:left w:w="100" w:type="dxa"/>
              <w:bottom w:w="100" w:type="dxa"/>
              <w:right w:w="100" w:type="dxa"/>
            </w:tcMar>
          </w:tcPr>
          <w:p w14:paraId="35F48B27"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1.90E-07</w:t>
            </w:r>
          </w:p>
        </w:tc>
        <w:tc>
          <w:tcPr>
            <w:tcW w:w="990" w:type="dxa"/>
            <w:tcMar>
              <w:top w:w="100" w:type="dxa"/>
              <w:left w:w="100" w:type="dxa"/>
              <w:bottom w:w="100" w:type="dxa"/>
              <w:right w:w="100" w:type="dxa"/>
            </w:tcMar>
          </w:tcPr>
          <w:p w14:paraId="018B2C24"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6.90</w:t>
            </w:r>
          </w:p>
        </w:tc>
        <w:tc>
          <w:tcPr>
            <w:tcW w:w="1350" w:type="dxa"/>
            <w:tcMar>
              <w:top w:w="100" w:type="dxa"/>
              <w:left w:w="100" w:type="dxa"/>
              <w:bottom w:w="100" w:type="dxa"/>
              <w:right w:w="100" w:type="dxa"/>
            </w:tcMar>
          </w:tcPr>
          <w:p w14:paraId="532913CE"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2240</w:t>
            </w:r>
          </w:p>
        </w:tc>
        <w:tc>
          <w:tcPr>
            <w:tcW w:w="1425" w:type="dxa"/>
            <w:tcMar>
              <w:top w:w="100" w:type="dxa"/>
              <w:left w:w="100" w:type="dxa"/>
              <w:bottom w:w="100" w:type="dxa"/>
              <w:right w:w="100" w:type="dxa"/>
            </w:tcMar>
          </w:tcPr>
          <w:p w14:paraId="69E99E8D"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5.51</w:t>
            </w:r>
          </w:p>
        </w:tc>
      </w:tr>
      <w:tr w:rsidR="00170E20" w:rsidRPr="00310524" w14:paraId="34D36016" w14:textId="77777777">
        <w:trPr>
          <w:trHeight w:val="560"/>
        </w:trPr>
        <w:tc>
          <w:tcPr>
            <w:tcW w:w="1575" w:type="dxa"/>
            <w:tcBorders>
              <w:right w:val="single" w:sz="8" w:space="0" w:color="7F7F7F"/>
            </w:tcBorders>
            <w:shd w:val="clear" w:color="auto" w:fill="FFFFFF"/>
            <w:tcMar>
              <w:top w:w="100" w:type="dxa"/>
              <w:left w:w="100" w:type="dxa"/>
              <w:bottom w:w="100" w:type="dxa"/>
              <w:right w:w="100" w:type="dxa"/>
            </w:tcMar>
          </w:tcPr>
          <w:p w14:paraId="07D03C90"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r w:rsidRPr="00310524">
              <w:rPr>
                <w:rFonts w:ascii="Times New Roman" w:eastAsia="Times New Roman" w:hAnsi="Times New Roman" w:cs="Times New Roman"/>
                <w:sz w:val="20"/>
                <w:szCs w:val="20"/>
                <w:highlight w:val="white"/>
              </w:rPr>
              <w:t>Permethrin</w:t>
            </w:r>
          </w:p>
        </w:tc>
        <w:tc>
          <w:tcPr>
            <w:tcW w:w="945" w:type="dxa"/>
            <w:shd w:val="clear" w:color="auto" w:fill="F2F2F2"/>
            <w:tcMar>
              <w:top w:w="100" w:type="dxa"/>
              <w:left w:w="100" w:type="dxa"/>
              <w:bottom w:w="100" w:type="dxa"/>
              <w:right w:w="100" w:type="dxa"/>
            </w:tcMar>
          </w:tcPr>
          <w:p w14:paraId="5AB01835"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391.3</w:t>
            </w:r>
          </w:p>
        </w:tc>
        <w:tc>
          <w:tcPr>
            <w:tcW w:w="1335" w:type="dxa"/>
            <w:shd w:val="clear" w:color="auto" w:fill="F2F2F2"/>
            <w:tcMar>
              <w:top w:w="100" w:type="dxa"/>
              <w:left w:w="100" w:type="dxa"/>
              <w:bottom w:w="100" w:type="dxa"/>
              <w:right w:w="100" w:type="dxa"/>
            </w:tcMar>
          </w:tcPr>
          <w:p w14:paraId="309D966D"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0.006</w:t>
            </w:r>
          </w:p>
        </w:tc>
        <w:tc>
          <w:tcPr>
            <w:tcW w:w="1620" w:type="dxa"/>
            <w:shd w:val="clear" w:color="auto" w:fill="F2F2F2"/>
            <w:tcMar>
              <w:top w:w="100" w:type="dxa"/>
              <w:left w:w="100" w:type="dxa"/>
              <w:bottom w:w="100" w:type="dxa"/>
              <w:right w:w="100" w:type="dxa"/>
            </w:tcMar>
          </w:tcPr>
          <w:p w14:paraId="28A0A007"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1.40E-06</w:t>
            </w:r>
          </w:p>
        </w:tc>
        <w:tc>
          <w:tcPr>
            <w:tcW w:w="990" w:type="dxa"/>
            <w:shd w:val="clear" w:color="auto" w:fill="F2F2F2"/>
            <w:tcMar>
              <w:top w:w="100" w:type="dxa"/>
              <w:left w:w="100" w:type="dxa"/>
              <w:bottom w:w="100" w:type="dxa"/>
              <w:right w:w="100" w:type="dxa"/>
            </w:tcMar>
          </w:tcPr>
          <w:p w14:paraId="3527EA82"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6.10</w:t>
            </w:r>
          </w:p>
        </w:tc>
        <w:tc>
          <w:tcPr>
            <w:tcW w:w="1350" w:type="dxa"/>
            <w:shd w:val="clear" w:color="auto" w:fill="F2F2F2"/>
            <w:tcMar>
              <w:top w:w="100" w:type="dxa"/>
              <w:left w:w="100" w:type="dxa"/>
              <w:bottom w:w="100" w:type="dxa"/>
              <w:right w:w="100" w:type="dxa"/>
            </w:tcMar>
          </w:tcPr>
          <w:p w14:paraId="575C5F62"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558</w:t>
            </w:r>
          </w:p>
        </w:tc>
        <w:tc>
          <w:tcPr>
            <w:tcW w:w="1425" w:type="dxa"/>
            <w:shd w:val="clear" w:color="auto" w:fill="F2F2F2"/>
            <w:tcMar>
              <w:top w:w="100" w:type="dxa"/>
              <w:left w:w="100" w:type="dxa"/>
              <w:bottom w:w="100" w:type="dxa"/>
              <w:right w:w="100" w:type="dxa"/>
            </w:tcMar>
          </w:tcPr>
          <w:p w14:paraId="0DC40A7F"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5.44</w:t>
            </w:r>
          </w:p>
        </w:tc>
      </w:tr>
      <w:tr w:rsidR="00170E20" w:rsidRPr="00310524" w14:paraId="3A70E310" w14:textId="77777777">
        <w:trPr>
          <w:trHeight w:val="560"/>
        </w:trPr>
        <w:tc>
          <w:tcPr>
            <w:tcW w:w="1575" w:type="dxa"/>
            <w:tcBorders>
              <w:right w:val="single" w:sz="8" w:space="0" w:color="7F7F7F"/>
            </w:tcBorders>
            <w:shd w:val="clear" w:color="auto" w:fill="FFFFFF"/>
            <w:tcMar>
              <w:top w:w="100" w:type="dxa"/>
              <w:left w:w="100" w:type="dxa"/>
              <w:bottom w:w="100" w:type="dxa"/>
              <w:right w:w="100" w:type="dxa"/>
            </w:tcMar>
          </w:tcPr>
          <w:p w14:paraId="2C19FD71"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proofErr w:type="spellStart"/>
            <w:r w:rsidRPr="00310524">
              <w:rPr>
                <w:rFonts w:ascii="Times New Roman" w:eastAsia="Times New Roman" w:hAnsi="Times New Roman" w:cs="Times New Roman"/>
                <w:sz w:val="20"/>
                <w:szCs w:val="20"/>
                <w:highlight w:val="white"/>
              </w:rPr>
              <w:t>Pyrethrin</w:t>
            </w:r>
            <w:proofErr w:type="spellEnd"/>
          </w:p>
        </w:tc>
        <w:tc>
          <w:tcPr>
            <w:tcW w:w="945" w:type="dxa"/>
            <w:tcMar>
              <w:top w:w="100" w:type="dxa"/>
              <w:left w:w="100" w:type="dxa"/>
              <w:bottom w:w="100" w:type="dxa"/>
              <w:right w:w="100" w:type="dxa"/>
            </w:tcMar>
          </w:tcPr>
          <w:p w14:paraId="7C1C9C88"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372.4</w:t>
            </w:r>
          </w:p>
        </w:tc>
        <w:tc>
          <w:tcPr>
            <w:tcW w:w="1335" w:type="dxa"/>
            <w:tcMar>
              <w:top w:w="100" w:type="dxa"/>
              <w:left w:w="100" w:type="dxa"/>
              <w:bottom w:w="100" w:type="dxa"/>
              <w:right w:w="100" w:type="dxa"/>
            </w:tcMar>
          </w:tcPr>
          <w:p w14:paraId="70AE0E5B"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125.6</w:t>
            </w:r>
          </w:p>
        </w:tc>
        <w:tc>
          <w:tcPr>
            <w:tcW w:w="1620" w:type="dxa"/>
            <w:tcMar>
              <w:top w:w="100" w:type="dxa"/>
              <w:left w:w="100" w:type="dxa"/>
              <w:bottom w:w="100" w:type="dxa"/>
              <w:right w:w="100" w:type="dxa"/>
            </w:tcMar>
          </w:tcPr>
          <w:p w14:paraId="6069AA20"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7.40E-10</w:t>
            </w:r>
          </w:p>
        </w:tc>
        <w:tc>
          <w:tcPr>
            <w:tcW w:w="990" w:type="dxa"/>
            <w:tcMar>
              <w:top w:w="100" w:type="dxa"/>
              <w:left w:w="100" w:type="dxa"/>
              <w:bottom w:w="100" w:type="dxa"/>
              <w:right w:w="100" w:type="dxa"/>
            </w:tcMar>
          </w:tcPr>
          <w:p w14:paraId="50B06B36"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3.56</w:t>
            </w:r>
          </w:p>
        </w:tc>
        <w:tc>
          <w:tcPr>
            <w:tcW w:w="1350" w:type="dxa"/>
            <w:tcMar>
              <w:top w:w="100" w:type="dxa"/>
              <w:left w:w="100" w:type="dxa"/>
              <w:bottom w:w="100" w:type="dxa"/>
              <w:right w:w="100" w:type="dxa"/>
            </w:tcMar>
          </w:tcPr>
          <w:p w14:paraId="1B0DCB70"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300</w:t>
            </w:r>
          </w:p>
        </w:tc>
        <w:tc>
          <w:tcPr>
            <w:tcW w:w="1425" w:type="dxa"/>
            <w:tcMar>
              <w:top w:w="100" w:type="dxa"/>
              <w:left w:w="100" w:type="dxa"/>
              <w:bottom w:w="100" w:type="dxa"/>
              <w:right w:w="100" w:type="dxa"/>
            </w:tcMar>
          </w:tcPr>
          <w:p w14:paraId="7B4252D6" w14:textId="77777777" w:rsidR="00170E20" w:rsidRPr="00310524" w:rsidRDefault="005D4F94">
            <w:pPr>
              <w:spacing w:line="240" w:lineRule="auto"/>
              <w:ind w:left="120" w:right="120"/>
              <w:jc w:val="center"/>
              <w:rPr>
                <w:rFonts w:ascii="Times New Roman" w:eastAsia="Times New Roman" w:hAnsi="Times New Roman" w:cs="Times New Roman"/>
                <w:sz w:val="20"/>
                <w:szCs w:val="20"/>
              </w:rPr>
            </w:pPr>
            <w:r w:rsidRPr="00310524">
              <w:rPr>
                <w:rFonts w:ascii="Times New Roman" w:eastAsia="Times New Roman" w:hAnsi="Times New Roman" w:cs="Times New Roman"/>
                <w:sz w:val="20"/>
                <w:szCs w:val="20"/>
              </w:rPr>
              <w:t>3.31</w:t>
            </w:r>
          </w:p>
        </w:tc>
      </w:tr>
      <w:tr w:rsidR="00170E20" w:rsidRPr="00310524" w14:paraId="4E53E855" w14:textId="77777777">
        <w:trPr>
          <w:trHeight w:val="540"/>
        </w:trPr>
        <w:tc>
          <w:tcPr>
            <w:tcW w:w="1575" w:type="dxa"/>
            <w:tcBorders>
              <w:right w:val="single" w:sz="8" w:space="0" w:color="7F7F7F"/>
            </w:tcBorders>
            <w:shd w:val="clear" w:color="auto" w:fill="FFFFFF"/>
            <w:tcMar>
              <w:top w:w="100" w:type="dxa"/>
              <w:left w:w="100" w:type="dxa"/>
              <w:bottom w:w="100" w:type="dxa"/>
              <w:right w:w="100" w:type="dxa"/>
            </w:tcMar>
          </w:tcPr>
          <w:p w14:paraId="17C3B874" w14:textId="77777777" w:rsidR="00170E20" w:rsidRPr="00310524" w:rsidRDefault="005D4F94">
            <w:pPr>
              <w:spacing w:line="240" w:lineRule="auto"/>
              <w:ind w:left="120" w:right="120"/>
              <w:jc w:val="right"/>
              <w:rPr>
                <w:rFonts w:ascii="Times New Roman" w:eastAsia="Times New Roman" w:hAnsi="Times New Roman" w:cs="Times New Roman"/>
                <w:sz w:val="20"/>
                <w:szCs w:val="20"/>
                <w:highlight w:val="white"/>
              </w:rPr>
            </w:pPr>
            <w:r w:rsidRPr="00310524">
              <w:rPr>
                <w:rFonts w:ascii="Times New Roman" w:eastAsia="Times New Roman" w:hAnsi="Times New Roman" w:cs="Times New Roman"/>
                <w:sz w:val="20"/>
                <w:szCs w:val="20"/>
                <w:highlight w:val="white"/>
              </w:rPr>
              <w:t xml:space="preserve">  </w:t>
            </w:r>
            <w:proofErr w:type="spellStart"/>
            <w:r w:rsidRPr="00310524">
              <w:rPr>
                <w:rFonts w:ascii="Times New Roman" w:eastAsia="Times New Roman" w:hAnsi="Times New Roman" w:cs="Times New Roman"/>
                <w:sz w:val="20"/>
                <w:szCs w:val="20"/>
                <w:highlight w:val="white"/>
              </w:rPr>
              <w:t>Flauvalinate</w:t>
            </w:r>
            <w:proofErr w:type="spellEnd"/>
          </w:p>
        </w:tc>
        <w:tc>
          <w:tcPr>
            <w:tcW w:w="945" w:type="dxa"/>
            <w:shd w:val="clear" w:color="auto" w:fill="F2F2F2"/>
            <w:tcMar>
              <w:top w:w="100" w:type="dxa"/>
              <w:left w:w="100" w:type="dxa"/>
              <w:bottom w:w="100" w:type="dxa"/>
              <w:right w:w="100" w:type="dxa"/>
            </w:tcMar>
          </w:tcPr>
          <w:p w14:paraId="4A87F33C"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502.9</w:t>
            </w:r>
          </w:p>
        </w:tc>
        <w:tc>
          <w:tcPr>
            <w:tcW w:w="1335" w:type="dxa"/>
            <w:shd w:val="clear" w:color="auto" w:fill="F2F2F2"/>
            <w:tcMar>
              <w:top w:w="100" w:type="dxa"/>
              <w:left w:w="100" w:type="dxa"/>
              <w:bottom w:w="100" w:type="dxa"/>
              <w:right w:w="100" w:type="dxa"/>
            </w:tcMar>
          </w:tcPr>
          <w:p w14:paraId="5C8B2E5F"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0.002</w:t>
            </w:r>
          </w:p>
        </w:tc>
        <w:tc>
          <w:tcPr>
            <w:tcW w:w="1620" w:type="dxa"/>
            <w:shd w:val="clear" w:color="auto" w:fill="F2F2F2"/>
            <w:tcMar>
              <w:top w:w="100" w:type="dxa"/>
              <w:left w:w="100" w:type="dxa"/>
              <w:bottom w:w="100" w:type="dxa"/>
              <w:right w:w="100" w:type="dxa"/>
            </w:tcMar>
          </w:tcPr>
          <w:p w14:paraId="627EC9BA"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3.05E-05</w:t>
            </w:r>
          </w:p>
        </w:tc>
        <w:tc>
          <w:tcPr>
            <w:tcW w:w="990" w:type="dxa"/>
            <w:shd w:val="clear" w:color="auto" w:fill="F2F2F2"/>
            <w:tcMar>
              <w:top w:w="100" w:type="dxa"/>
              <w:left w:w="100" w:type="dxa"/>
              <w:bottom w:w="100" w:type="dxa"/>
              <w:right w:w="100" w:type="dxa"/>
            </w:tcMar>
          </w:tcPr>
          <w:p w14:paraId="350DCEE5"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4.30</w:t>
            </w:r>
          </w:p>
        </w:tc>
        <w:tc>
          <w:tcPr>
            <w:tcW w:w="1350" w:type="dxa"/>
            <w:shd w:val="clear" w:color="auto" w:fill="F2F2F2"/>
            <w:tcMar>
              <w:top w:w="100" w:type="dxa"/>
              <w:left w:w="100" w:type="dxa"/>
              <w:bottom w:w="100" w:type="dxa"/>
              <w:right w:w="100" w:type="dxa"/>
            </w:tcMar>
          </w:tcPr>
          <w:p w14:paraId="6DC6F75D"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14000</w:t>
            </w:r>
          </w:p>
        </w:tc>
        <w:tc>
          <w:tcPr>
            <w:tcW w:w="1425" w:type="dxa"/>
            <w:shd w:val="clear" w:color="auto" w:fill="F2F2F2"/>
            <w:tcMar>
              <w:top w:w="100" w:type="dxa"/>
              <w:left w:w="100" w:type="dxa"/>
              <w:bottom w:w="100" w:type="dxa"/>
              <w:right w:w="100" w:type="dxa"/>
            </w:tcMar>
          </w:tcPr>
          <w:p w14:paraId="050C9244" w14:textId="77777777" w:rsidR="00170E20" w:rsidRPr="00310524" w:rsidRDefault="005D4F94">
            <w:pPr>
              <w:spacing w:line="240" w:lineRule="auto"/>
              <w:ind w:left="120" w:right="120"/>
              <w:jc w:val="center"/>
              <w:rPr>
                <w:rFonts w:ascii="Times New Roman" w:eastAsia="Times New Roman" w:hAnsi="Times New Roman" w:cs="Times New Roman"/>
                <w:sz w:val="20"/>
                <w:szCs w:val="20"/>
                <w:shd w:val="clear" w:color="auto" w:fill="F2F2F2"/>
              </w:rPr>
            </w:pPr>
            <w:r w:rsidRPr="00310524">
              <w:rPr>
                <w:rFonts w:ascii="Times New Roman" w:eastAsia="Times New Roman" w:hAnsi="Times New Roman" w:cs="Times New Roman"/>
                <w:sz w:val="20"/>
                <w:szCs w:val="20"/>
                <w:shd w:val="clear" w:color="auto" w:fill="F2F2F2"/>
              </w:rPr>
              <w:t>6.04</w:t>
            </w:r>
          </w:p>
        </w:tc>
      </w:tr>
    </w:tbl>
    <w:p w14:paraId="0404F679" w14:textId="77777777" w:rsidR="00170E20" w:rsidRPr="00310524" w:rsidRDefault="005D4F94">
      <w:pPr>
        <w:spacing w:line="240" w:lineRule="auto"/>
        <w:rPr>
          <w:rFonts w:ascii="Times New Roman" w:eastAsia="Times New Roman" w:hAnsi="Times New Roman" w:cs="Times New Roman"/>
          <w:b/>
          <w:sz w:val="24"/>
          <w:szCs w:val="24"/>
        </w:rPr>
      </w:pPr>
      <w:r w:rsidRPr="00310524">
        <w:rPr>
          <w:rFonts w:ascii="Times New Roman" w:eastAsia="Times New Roman" w:hAnsi="Times New Roman" w:cs="Times New Roman"/>
          <w:b/>
          <w:sz w:val="24"/>
          <w:szCs w:val="24"/>
        </w:rPr>
        <w:t xml:space="preserve"> </w:t>
      </w:r>
    </w:p>
    <w:p w14:paraId="4D704185" w14:textId="77777777" w:rsidR="00170E20" w:rsidRPr="00310524" w:rsidRDefault="005D4F94">
      <w:pPr>
        <w:spacing w:line="240" w:lineRule="auto"/>
        <w:rPr>
          <w:rFonts w:ascii="Times New Roman" w:eastAsia="Times New Roman" w:hAnsi="Times New Roman" w:cs="Times New Roman"/>
          <w:i/>
          <w:sz w:val="20"/>
          <w:szCs w:val="20"/>
        </w:rPr>
      </w:pPr>
      <w:r w:rsidRPr="00310524">
        <w:rPr>
          <w:rFonts w:ascii="Times New Roman" w:eastAsia="Times New Roman" w:hAnsi="Times New Roman" w:cs="Times New Roman"/>
          <w:i/>
          <w:sz w:val="20"/>
          <w:szCs w:val="20"/>
        </w:rPr>
        <w:t>a.</w:t>
      </w:r>
      <w:r w:rsidRPr="00310524">
        <w:rPr>
          <w:rFonts w:ascii="Times New Roman" w:eastAsia="Times New Roman" w:hAnsi="Times New Roman" w:cs="Times New Roman"/>
          <w:sz w:val="14"/>
          <w:szCs w:val="14"/>
        </w:rPr>
        <w:t xml:space="preserve">     </w:t>
      </w:r>
      <w:r w:rsidRPr="00310524">
        <w:rPr>
          <w:rFonts w:ascii="Times New Roman" w:eastAsia="Times New Roman" w:hAnsi="Times New Roman" w:cs="Times New Roman"/>
          <w:i/>
          <w:sz w:val="20"/>
          <w:szCs w:val="20"/>
        </w:rPr>
        <w:t>USDHHS 2003</w:t>
      </w:r>
    </w:p>
    <w:p w14:paraId="668E62AE" w14:textId="77777777" w:rsidR="00170E20" w:rsidRPr="00310524" w:rsidRDefault="005D4F94">
      <w:pPr>
        <w:spacing w:line="240" w:lineRule="auto"/>
        <w:rPr>
          <w:rFonts w:ascii="Times New Roman" w:eastAsia="Times New Roman" w:hAnsi="Times New Roman" w:cs="Times New Roman"/>
          <w:i/>
          <w:sz w:val="20"/>
          <w:szCs w:val="20"/>
        </w:rPr>
      </w:pPr>
      <w:r w:rsidRPr="00310524">
        <w:rPr>
          <w:rFonts w:ascii="Times New Roman" w:eastAsia="Times New Roman" w:hAnsi="Times New Roman" w:cs="Times New Roman"/>
          <w:i/>
          <w:sz w:val="20"/>
          <w:szCs w:val="20"/>
        </w:rPr>
        <w:t>b.</w:t>
      </w:r>
      <w:r w:rsidRPr="00310524">
        <w:rPr>
          <w:rFonts w:ascii="Times New Roman" w:eastAsia="Times New Roman" w:hAnsi="Times New Roman" w:cs="Times New Roman"/>
          <w:sz w:val="14"/>
          <w:szCs w:val="14"/>
        </w:rPr>
        <w:t xml:space="preserve">     </w:t>
      </w:r>
      <w:proofErr w:type="spellStart"/>
      <w:r w:rsidRPr="00310524">
        <w:rPr>
          <w:rFonts w:ascii="Times New Roman" w:eastAsia="Times New Roman" w:hAnsi="Times New Roman" w:cs="Times New Roman"/>
          <w:i/>
          <w:sz w:val="20"/>
          <w:szCs w:val="20"/>
        </w:rPr>
        <w:t>Laskowski</w:t>
      </w:r>
      <w:proofErr w:type="spellEnd"/>
      <w:r w:rsidRPr="00310524">
        <w:rPr>
          <w:rFonts w:ascii="Times New Roman" w:eastAsia="Times New Roman" w:hAnsi="Times New Roman" w:cs="Times New Roman"/>
          <w:i/>
          <w:sz w:val="20"/>
          <w:szCs w:val="20"/>
        </w:rPr>
        <w:t xml:space="preserve"> 2002</w:t>
      </w:r>
    </w:p>
    <w:p w14:paraId="7F6CA578" w14:textId="77777777" w:rsidR="00170E20" w:rsidRPr="00310524" w:rsidRDefault="00170E20">
      <w:pPr>
        <w:rPr>
          <w:rFonts w:ascii="Times New Roman" w:eastAsia="Times New Roman" w:hAnsi="Times New Roman" w:cs="Times New Roman"/>
          <w:color w:val="222222"/>
          <w:highlight w:val="white"/>
        </w:rPr>
      </w:pPr>
    </w:p>
    <w:p w14:paraId="0614DAE4" w14:textId="77777777" w:rsidR="00170E20" w:rsidRPr="00310524" w:rsidRDefault="005D4F94" w:rsidP="005248FB">
      <w:pPr>
        <w:pStyle w:val="Heading2"/>
        <w:rPr>
          <w:rFonts w:ascii="Times New Roman" w:hAnsi="Times New Roman" w:cs="Times New Roman"/>
          <w:highlight w:val="white"/>
        </w:rPr>
      </w:pPr>
      <w:bookmarkStart w:id="8" w:name="_4d34og8" w:colFirst="0" w:colLast="0"/>
      <w:bookmarkEnd w:id="8"/>
      <w:r w:rsidRPr="00310524">
        <w:rPr>
          <w:rFonts w:ascii="Times New Roman" w:hAnsi="Times New Roman" w:cs="Times New Roman"/>
          <w:highlight w:val="white"/>
        </w:rPr>
        <w:lastRenderedPageBreak/>
        <w:t>Effect of Pyrethroids on Fish</w:t>
      </w:r>
    </w:p>
    <w:p w14:paraId="691E1EB0"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The effects of pyrethroid pesticides on fish have been studied fairly extensively. While the pesticide is desirable because it is not toxic to mammals, it can have significant and often lethal effects on fish. While studies on the lethal and sub-lethal concentrations have not been explored for tidewater gobies, data for </w:t>
      </w:r>
      <w:proofErr w:type="gramStart"/>
      <w:r w:rsidRPr="00310524">
        <w:rPr>
          <w:rFonts w:ascii="Times New Roman" w:eastAsia="Times New Roman" w:hAnsi="Times New Roman" w:cs="Times New Roman"/>
          <w:color w:val="222222"/>
          <w:sz w:val="24"/>
          <w:szCs w:val="24"/>
          <w:highlight w:val="white"/>
        </w:rPr>
        <w:t>other</w:t>
      </w:r>
      <w:proofErr w:type="gramEnd"/>
      <w:r w:rsidRPr="00310524">
        <w:rPr>
          <w:rFonts w:ascii="Times New Roman" w:eastAsia="Times New Roman" w:hAnsi="Times New Roman" w:cs="Times New Roman"/>
          <w:color w:val="222222"/>
          <w:sz w:val="24"/>
          <w:szCs w:val="24"/>
          <w:highlight w:val="white"/>
        </w:rPr>
        <w:t xml:space="preserve"> species is informative.</w:t>
      </w:r>
    </w:p>
    <w:p w14:paraId="438C392D"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w:t>
      </w:r>
    </w:p>
    <w:p w14:paraId="757A5B1F" w14:textId="77777777" w:rsidR="00170E20" w:rsidRPr="00310524" w:rsidRDefault="005D4F94" w:rsidP="005248FB">
      <w:pPr>
        <w:pStyle w:val="Heading3"/>
        <w:ind w:firstLine="720"/>
        <w:rPr>
          <w:rFonts w:ascii="Times New Roman" w:hAnsi="Times New Roman" w:cs="Times New Roman"/>
          <w:i/>
          <w:highlight w:val="white"/>
        </w:rPr>
      </w:pPr>
      <w:r w:rsidRPr="00310524">
        <w:rPr>
          <w:rFonts w:ascii="Times New Roman" w:hAnsi="Times New Roman" w:cs="Times New Roman"/>
          <w:i/>
          <w:highlight w:val="white"/>
        </w:rPr>
        <w:t>Salmonids</w:t>
      </w:r>
    </w:p>
    <w:p w14:paraId="7206A40D"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Considerable research has been conducted on the impacts of pyrethroid pesticides of salmonids. In a study focusing on permethrin, the 96 h LC 50 for a 1-gram rainbow trout (</w:t>
      </w:r>
      <w:proofErr w:type="spellStart"/>
      <w:r w:rsidRPr="00310524">
        <w:rPr>
          <w:rFonts w:ascii="Times New Roman" w:eastAsia="Times New Roman" w:hAnsi="Times New Roman" w:cs="Times New Roman"/>
          <w:color w:val="222222"/>
          <w:sz w:val="24"/>
          <w:szCs w:val="24"/>
          <w:highlight w:val="white"/>
        </w:rPr>
        <w:t>Oncorhynchus</w:t>
      </w:r>
      <w:proofErr w:type="spellEnd"/>
      <w:r w:rsidRPr="00310524">
        <w:rPr>
          <w:rFonts w:ascii="Times New Roman" w:eastAsia="Times New Roman" w:hAnsi="Times New Roman" w:cs="Times New Roman"/>
          <w:color w:val="222222"/>
          <w:sz w:val="24"/>
          <w:szCs w:val="24"/>
          <w:highlight w:val="white"/>
        </w:rPr>
        <w:t xml:space="preserve"> mykiss) was 3.17 </w:t>
      </w:r>
      <w:proofErr w:type="spellStart"/>
      <w:r w:rsidRPr="00310524">
        <w:rPr>
          <w:rFonts w:ascii="Times New Roman" w:eastAsia="Times New Roman" w:hAnsi="Times New Roman" w:cs="Times New Roman"/>
          <w:color w:val="222222"/>
          <w:sz w:val="24"/>
          <w:szCs w:val="24"/>
          <w:highlight w:val="white"/>
        </w:rPr>
        <w:t>μg</w:t>
      </w:r>
      <w:proofErr w:type="spellEnd"/>
      <w:r w:rsidRPr="00310524">
        <w:rPr>
          <w:rFonts w:ascii="Times New Roman" w:eastAsia="Times New Roman" w:hAnsi="Times New Roman" w:cs="Times New Roman"/>
          <w:color w:val="222222"/>
          <w:sz w:val="24"/>
          <w:szCs w:val="24"/>
          <w:highlight w:val="white"/>
        </w:rPr>
        <w:t>/L (</w:t>
      </w:r>
      <w:proofErr w:type="spellStart"/>
      <w:r w:rsidRPr="00310524">
        <w:rPr>
          <w:rFonts w:ascii="Times New Roman" w:eastAsia="Times New Roman" w:hAnsi="Times New Roman" w:cs="Times New Roman"/>
          <w:color w:val="222222"/>
          <w:sz w:val="24"/>
          <w:szCs w:val="24"/>
          <w:highlight w:val="white"/>
        </w:rPr>
        <w:t>Kumarguru</w:t>
      </w:r>
      <w:proofErr w:type="spellEnd"/>
      <w:r w:rsidRPr="00310524">
        <w:rPr>
          <w:rFonts w:ascii="Times New Roman" w:eastAsia="Times New Roman" w:hAnsi="Times New Roman" w:cs="Times New Roman"/>
          <w:color w:val="222222"/>
          <w:sz w:val="24"/>
          <w:szCs w:val="24"/>
          <w:highlight w:val="white"/>
        </w:rPr>
        <w:t xml:space="preserve"> &amp; Beamish 1981). In this same study it was determined that both the size of a trout and the water temperature were inversely related to the lethal toxicity of permethrin. Larger trout, especially once they grow bigger than 5 grams are able to survive exposure to significantly higher concentrations of permethrin (</w:t>
      </w:r>
      <w:proofErr w:type="spellStart"/>
      <w:r w:rsidRPr="00310524">
        <w:rPr>
          <w:rFonts w:ascii="Times New Roman" w:eastAsia="Times New Roman" w:hAnsi="Times New Roman" w:cs="Times New Roman"/>
          <w:color w:val="222222"/>
          <w:sz w:val="24"/>
          <w:szCs w:val="24"/>
          <w:highlight w:val="white"/>
        </w:rPr>
        <w:t>Kumarguru</w:t>
      </w:r>
      <w:proofErr w:type="spellEnd"/>
      <w:r w:rsidRPr="00310524">
        <w:rPr>
          <w:rFonts w:ascii="Times New Roman" w:eastAsia="Times New Roman" w:hAnsi="Times New Roman" w:cs="Times New Roman"/>
          <w:color w:val="222222"/>
          <w:sz w:val="24"/>
          <w:szCs w:val="24"/>
          <w:highlight w:val="white"/>
        </w:rPr>
        <w:t xml:space="preserve"> &amp; Beamish 1981). These findings could be important for management strategies for tidewater gobies. Tidewater gobies rarely grow larger than 55 mm and can live in water below 10°C (USFWS Recovery Plan 2005), which would potentially put them at risk to the similar pesticide concentrations and environmental conditions that affect rainbow trout.</w:t>
      </w:r>
    </w:p>
    <w:p w14:paraId="03D0873B"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w:t>
      </w:r>
    </w:p>
    <w:p w14:paraId="71E08353"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In an early study of six different pyrethroids, rainbow trout and three other freshwater fish were exposed to different concentrations of pesticide. Researchers found that </w:t>
      </w:r>
      <w:proofErr w:type="spellStart"/>
      <w:r w:rsidRPr="00310524">
        <w:rPr>
          <w:rFonts w:ascii="Times New Roman" w:eastAsia="Times New Roman" w:hAnsi="Times New Roman" w:cs="Times New Roman"/>
          <w:color w:val="222222"/>
          <w:sz w:val="24"/>
          <w:szCs w:val="24"/>
          <w:highlight w:val="white"/>
        </w:rPr>
        <w:t>decamethrin</w:t>
      </w:r>
      <w:proofErr w:type="spellEnd"/>
      <w:r w:rsidRPr="00310524">
        <w:rPr>
          <w:rFonts w:ascii="Times New Roman" w:eastAsia="Times New Roman" w:hAnsi="Times New Roman" w:cs="Times New Roman"/>
          <w:color w:val="222222"/>
          <w:sz w:val="24"/>
          <w:szCs w:val="24"/>
          <w:highlight w:val="white"/>
        </w:rPr>
        <w:t xml:space="preserve"> was the most toxic, causing 90% mortality at concentrations of 1-2 ppb in all four species (</w:t>
      </w:r>
      <w:proofErr w:type="spellStart"/>
      <w:r w:rsidRPr="00310524">
        <w:rPr>
          <w:rFonts w:ascii="Times New Roman" w:eastAsia="Times New Roman" w:hAnsi="Times New Roman" w:cs="Times New Roman"/>
          <w:color w:val="222222"/>
          <w:sz w:val="24"/>
          <w:szCs w:val="24"/>
          <w:highlight w:val="white"/>
        </w:rPr>
        <w:t>Mulla</w:t>
      </w:r>
      <w:proofErr w:type="spellEnd"/>
      <w:r w:rsidRPr="00310524">
        <w:rPr>
          <w:rFonts w:ascii="Times New Roman" w:eastAsia="Times New Roman" w:hAnsi="Times New Roman" w:cs="Times New Roman"/>
          <w:color w:val="222222"/>
          <w:sz w:val="24"/>
          <w:szCs w:val="24"/>
          <w:highlight w:val="white"/>
        </w:rPr>
        <w:t xml:space="preserve"> et al. 1978). Other studies have shown different rates of mortality depending on the specific pyrethroid (</w:t>
      </w:r>
      <w:r w:rsidRPr="00310524">
        <w:rPr>
          <w:rFonts w:ascii="Times New Roman" w:eastAsia="Times New Roman" w:hAnsi="Times New Roman" w:cs="Times New Roman"/>
          <w:b/>
          <w:color w:val="222222"/>
          <w:sz w:val="24"/>
          <w:szCs w:val="24"/>
          <w:highlight w:val="white"/>
        </w:rPr>
        <w:t>Table 2</w:t>
      </w:r>
      <w:r w:rsidRPr="00310524">
        <w:rPr>
          <w:rFonts w:ascii="Times New Roman" w:eastAsia="Times New Roman" w:hAnsi="Times New Roman" w:cs="Times New Roman"/>
          <w:color w:val="222222"/>
          <w:sz w:val="24"/>
          <w:szCs w:val="24"/>
          <w:highlight w:val="white"/>
        </w:rPr>
        <w:t>). Different application rates and risk of pyrethroids to gobies will be an important consideration when analyzing pyrethroid use in California. Additionally, one of the species tested in this study was the mosquitofish, a similarly sized fish that feeds on invertebrates similar to the tidewater goby.</w:t>
      </w:r>
    </w:p>
    <w:p w14:paraId="4D1AFD64" w14:textId="77777777" w:rsidR="00170E20" w:rsidRPr="00310524" w:rsidRDefault="00170E20">
      <w:pPr>
        <w:rPr>
          <w:rFonts w:ascii="Times New Roman" w:eastAsia="Times New Roman" w:hAnsi="Times New Roman" w:cs="Times New Roman"/>
          <w:color w:val="222222"/>
          <w:sz w:val="24"/>
          <w:szCs w:val="24"/>
          <w:highlight w:val="white"/>
        </w:rPr>
      </w:pPr>
    </w:p>
    <w:p w14:paraId="1F77B115" w14:textId="77777777" w:rsidR="00170E20" w:rsidRPr="00310524" w:rsidRDefault="005D4F94" w:rsidP="00226E1E">
      <w:pPr>
        <w:jc w:val="center"/>
        <w:rPr>
          <w:rFonts w:ascii="Times New Roman" w:eastAsia="Times New Roman" w:hAnsi="Times New Roman" w:cs="Times New Roman"/>
          <w:color w:val="222222"/>
          <w:sz w:val="18"/>
          <w:szCs w:val="18"/>
          <w:highlight w:val="white"/>
        </w:rPr>
      </w:pPr>
      <w:r w:rsidRPr="00310524">
        <w:rPr>
          <w:rFonts w:ascii="Times New Roman" w:eastAsia="Times New Roman" w:hAnsi="Times New Roman" w:cs="Times New Roman"/>
          <w:b/>
          <w:color w:val="222222"/>
          <w:sz w:val="18"/>
          <w:szCs w:val="18"/>
          <w:highlight w:val="white"/>
        </w:rPr>
        <w:t xml:space="preserve">Table 2. </w:t>
      </w:r>
      <w:r w:rsidRPr="00310524">
        <w:rPr>
          <w:rFonts w:ascii="Times New Roman" w:eastAsia="Times New Roman" w:hAnsi="Times New Roman" w:cs="Times New Roman"/>
          <w:color w:val="222222"/>
          <w:sz w:val="18"/>
          <w:szCs w:val="18"/>
          <w:highlight w:val="white"/>
        </w:rPr>
        <w:t xml:space="preserve">Toxicity of studies for select pyrethroids in </w:t>
      </w:r>
      <w:r w:rsidR="001E00EB" w:rsidRPr="00310524">
        <w:rPr>
          <w:rFonts w:ascii="Times New Roman" w:eastAsia="Times New Roman" w:hAnsi="Times New Roman" w:cs="Times New Roman"/>
          <w:color w:val="222222"/>
          <w:sz w:val="18"/>
          <w:szCs w:val="18"/>
          <w:highlight w:val="white"/>
        </w:rPr>
        <w:t>water on fish and invertebrates</w:t>
      </w:r>
      <w:r w:rsidRPr="00310524">
        <w:rPr>
          <w:rFonts w:ascii="Times New Roman" w:eastAsia="Times New Roman" w:hAnsi="Times New Roman" w:cs="Times New Roman"/>
          <w:color w:val="222222"/>
          <w:sz w:val="18"/>
          <w:szCs w:val="18"/>
          <w:highlight w:val="white"/>
        </w:rPr>
        <w:t xml:space="preserve"> (Adapted from Anderson et al. 2010)</w:t>
      </w:r>
      <w:r w:rsidR="001E00EB" w:rsidRPr="00310524">
        <w:rPr>
          <w:rFonts w:ascii="Times New Roman" w:eastAsia="Times New Roman" w:hAnsi="Times New Roman" w:cs="Times New Roman"/>
          <w:color w:val="222222"/>
          <w:sz w:val="18"/>
          <w:szCs w:val="18"/>
          <w:highlight w:val="white"/>
        </w:rPr>
        <w:t>.</w:t>
      </w:r>
    </w:p>
    <w:p w14:paraId="4DD13E9B"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hAnsi="Times New Roman" w:cs="Times New Roman"/>
          <w:noProof/>
        </w:rPr>
        <w:drawing>
          <wp:inline distT="114300" distB="114300" distL="114300" distR="114300" wp14:anchorId="52612122" wp14:editId="7340E872">
            <wp:extent cx="5943600" cy="2438400"/>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43600" cy="2438400"/>
                    </a:xfrm>
                    <a:prstGeom prst="rect">
                      <a:avLst/>
                    </a:prstGeom>
                    <a:ln/>
                  </pic:spPr>
                </pic:pic>
              </a:graphicData>
            </a:graphic>
          </wp:inline>
        </w:drawing>
      </w:r>
    </w:p>
    <w:p w14:paraId="6F5BA130"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lastRenderedPageBreak/>
        <w:t xml:space="preserve"> </w:t>
      </w:r>
    </w:p>
    <w:p w14:paraId="2943A952"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Pyrethroids can also adversely affect salmonids reproductive success. In a study using the pyrethroid </w:t>
      </w:r>
      <w:proofErr w:type="spellStart"/>
      <w:r w:rsidRPr="00310524">
        <w:rPr>
          <w:rFonts w:ascii="Times New Roman" w:eastAsia="Times New Roman" w:hAnsi="Times New Roman" w:cs="Times New Roman"/>
          <w:color w:val="222222"/>
          <w:sz w:val="24"/>
          <w:szCs w:val="24"/>
          <w:highlight w:val="white"/>
        </w:rPr>
        <w:t>fenvalerate</w:t>
      </w:r>
      <w:proofErr w:type="spellEnd"/>
      <w:r w:rsidRPr="00310524">
        <w:rPr>
          <w:rFonts w:ascii="Times New Roman" w:eastAsia="Times New Roman" w:hAnsi="Times New Roman" w:cs="Times New Roman"/>
          <w:color w:val="222222"/>
          <w:sz w:val="24"/>
          <w:szCs w:val="24"/>
          <w:highlight w:val="white"/>
        </w:rPr>
        <w:t xml:space="preserve">, fertilized steelhead trout eggs and juvenile fish were exposed to intermittent or constant doses of pesticide. Steelhead eggs are laid in benthic environment like gobies. Steelhead embryos develop and eventually hatch from these eggs carrying partial sacs of egg yolk. At this stage they are known as </w:t>
      </w:r>
      <w:proofErr w:type="spellStart"/>
      <w:r w:rsidRPr="00310524">
        <w:rPr>
          <w:rFonts w:ascii="Times New Roman" w:eastAsia="Times New Roman" w:hAnsi="Times New Roman" w:cs="Times New Roman"/>
          <w:color w:val="222222"/>
          <w:sz w:val="24"/>
          <w:szCs w:val="24"/>
          <w:highlight w:val="white"/>
        </w:rPr>
        <w:t>alevins</w:t>
      </w:r>
      <w:proofErr w:type="spellEnd"/>
      <w:r w:rsidRPr="00310524">
        <w:rPr>
          <w:rFonts w:ascii="Times New Roman" w:eastAsia="Times New Roman" w:hAnsi="Times New Roman" w:cs="Times New Roman"/>
          <w:color w:val="222222"/>
          <w:sz w:val="24"/>
          <w:szCs w:val="24"/>
          <w:highlight w:val="white"/>
        </w:rPr>
        <w:t xml:space="preserve">, or yolk-sac fry. </w:t>
      </w:r>
      <w:r w:rsidRPr="00310524">
        <w:rPr>
          <w:rFonts w:ascii="Times New Roman" w:eastAsia="Times New Roman" w:hAnsi="Times New Roman" w:cs="Times New Roman"/>
          <w:sz w:val="24"/>
          <w:szCs w:val="24"/>
          <w:highlight w:val="white"/>
        </w:rPr>
        <w:t xml:space="preserve">Embryos and </w:t>
      </w:r>
      <w:proofErr w:type="spellStart"/>
      <w:r w:rsidRPr="00310524">
        <w:rPr>
          <w:rFonts w:ascii="Times New Roman" w:eastAsia="Times New Roman" w:hAnsi="Times New Roman" w:cs="Times New Roman"/>
          <w:sz w:val="24"/>
          <w:szCs w:val="24"/>
          <w:highlight w:val="white"/>
        </w:rPr>
        <w:t>alevins</w:t>
      </w:r>
      <w:proofErr w:type="spellEnd"/>
      <w:r w:rsidRPr="00310524">
        <w:rPr>
          <w:rFonts w:ascii="Times New Roman" w:eastAsia="Times New Roman" w:hAnsi="Times New Roman" w:cs="Times New Roman"/>
          <w:sz w:val="24"/>
          <w:szCs w:val="24"/>
          <w:highlight w:val="white"/>
        </w:rPr>
        <w:t xml:space="preserve"> exposed continuously to 80 ng/l of </w:t>
      </w:r>
      <w:proofErr w:type="spellStart"/>
      <w:r w:rsidRPr="00310524">
        <w:rPr>
          <w:rFonts w:ascii="Times New Roman" w:eastAsia="Times New Roman" w:hAnsi="Times New Roman" w:cs="Times New Roman"/>
          <w:sz w:val="24"/>
          <w:szCs w:val="24"/>
          <w:highlight w:val="white"/>
        </w:rPr>
        <w:t>fenvalerate</w:t>
      </w:r>
      <w:proofErr w:type="spellEnd"/>
      <w:r w:rsidRPr="00310524">
        <w:rPr>
          <w:rFonts w:ascii="Times New Roman" w:eastAsia="Times New Roman" w:hAnsi="Times New Roman" w:cs="Times New Roman"/>
          <w:sz w:val="24"/>
          <w:szCs w:val="24"/>
          <w:highlight w:val="white"/>
        </w:rPr>
        <w:t xml:space="preserve"> had a 90% survival rate after 8 weeks, but at concentrations of 135 ng/l, survival rate fell to 10%</w:t>
      </w:r>
      <w:r w:rsidRPr="00310524">
        <w:rPr>
          <w:rFonts w:ascii="Times New Roman" w:eastAsia="Times New Roman" w:hAnsi="Times New Roman" w:cs="Times New Roman"/>
          <w:color w:val="FF0000"/>
          <w:sz w:val="24"/>
          <w:szCs w:val="24"/>
          <w:highlight w:val="white"/>
        </w:rPr>
        <w:t xml:space="preserve"> </w:t>
      </w:r>
      <w:r w:rsidRPr="00310524">
        <w:rPr>
          <w:rFonts w:ascii="Times New Roman" w:eastAsia="Times New Roman" w:hAnsi="Times New Roman" w:cs="Times New Roman"/>
          <w:color w:val="222222"/>
          <w:sz w:val="24"/>
          <w:szCs w:val="24"/>
          <w:highlight w:val="white"/>
        </w:rPr>
        <w:t>(Curtis et al. 1985). Pyrethroids pose a threat during early life stages, where a fish is most vulnerable, and could reduce the reproductive viability of species if exposure is consistent enough.</w:t>
      </w:r>
    </w:p>
    <w:p w14:paraId="23C3846F"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w:t>
      </w:r>
    </w:p>
    <w:p w14:paraId="1EBC6168"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Another study conducted in the San Francisco Bay Delta looked at the effects of bifenthrin on </w:t>
      </w:r>
      <w:proofErr w:type="spellStart"/>
      <w:r w:rsidRPr="00310524">
        <w:rPr>
          <w:rFonts w:ascii="Times New Roman" w:eastAsia="Times New Roman" w:hAnsi="Times New Roman" w:cs="Times New Roman"/>
          <w:color w:val="222222"/>
          <w:sz w:val="24"/>
          <w:szCs w:val="24"/>
          <w:highlight w:val="white"/>
        </w:rPr>
        <w:t>gonadosomatic</w:t>
      </w:r>
      <w:proofErr w:type="spellEnd"/>
      <w:r w:rsidRPr="00310524">
        <w:rPr>
          <w:rFonts w:ascii="Times New Roman" w:eastAsia="Times New Roman" w:hAnsi="Times New Roman" w:cs="Times New Roman"/>
          <w:color w:val="222222"/>
          <w:sz w:val="24"/>
          <w:szCs w:val="24"/>
          <w:highlight w:val="white"/>
        </w:rPr>
        <w:t xml:space="preserve"> index (GSI) and hormones of steelhead. This study tested steelhead both in freshwater, saline, and hypersaline water, to look at habitats visited during steelhead reproduction. Researchers found that male steelhead GSI was significantly reduced after being exposed to bifenthrin in freshwater but not in saltwater (</w:t>
      </w:r>
      <w:proofErr w:type="spellStart"/>
      <w:r w:rsidRPr="00310524">
        <w:rPr>
          <w:rFonts w:ascii="Times New Roman" w:eastAsia="Times New Roman" w:hAnsi="Times New Roman" w:cs="Times New Roman"/>
          <w:color w:val="222222"/>
          <w:sz w:val="24"/>
          <w:szCs w:val="24"/>
          <w:highlight w:val="white"/>
        </w:rPr>
        <w:t>Forsgren</w:t>
      </w:r>
      <w:proofErr w:type="spellEnd"/>
      <w:r w:rsidRPr="00310524">
        <w:rPr>
          <w:rFonts w:ascii="Times New Roman" w:eastAsia="Times New Roman" w:hAnsi="Times New Roman" w:cs="Times New Roman"/>
          <w:color w:val="222222"/>
          <w:sz w:val="24"/>
          <w:szCs w:val="24"/>
          <w:highlight w:val="white"/>
        </w:rPr>
        <w:t xml:space="preserve"> et al. 2013). Female steelhead did not show decreases in the GSI. However, in the hypersaline conditions both plasma estradiol-17b and testosterone were significantly lower in female fish after being exposed to bifenthrin. These findings demonstrate the different impacts and numerous effects exposure to pyrethroids can have on fish reproduction.</w:t>
      </w:r>
    </w:p>
    <w:p w14:paraId="3BF18668" w14:textId="77777777" w:rsidR="001E00EB" w:rsidRPr="00310524" w:rsidRDefault="001E00EB">
      <w:pPr>
        <w:rPr>
          <w:rFonts w:ascii="Times New Roman" w:eastAsia="Times New Roman" w:hAnsi="Times New Roman" w:cs="Times New Roman"/>
          <w:color w:val="222222"/>
          <w:sz w:val="24"/>
          <w:szCs w:val="24"/>
          <w:highlight w:val="white"/>
        </w:rPr>
      </w:pPr>
    </w:p>
    <w:p w14:paraId="3BBE2364" w14:textId="77777777" w:rsidR="00170E20" w:rsidRPr="00310524" w:rsidRDefault="005D4F94" w:rsidP="001E00EB">
      <w:pPr>
        <w:pStyle w:val="Heading3"/>
        <w:rPr>
          <w:rFonts w:ascii="Times New Roman" w:hAnsi="Times New Roman" w:cs="Times New Roman"/>
          <w:i/>
          <w:highlight w:val="white"/>
        </w:rPr>
      </w:pPr>
      <w:r w:rsidRPr="00310524">
        <w:rPr>
          <w:rFonts w:ascii="Times New Roman" w:hAnsi="Times New Roman" w:cs="Times New Roman"/>
          <w:highlight w:val="white"/>
        </w:rPr>
        <w:t xml:space="preserve"> </w:t>
      </w:r>
      <w:r w:rsidRPr="00310524">
        <w:rPr>
          <w:rFonts w:ascii="Times New Roman" w:hAnsi="Times New Roman" w:cs="Times New Roman"/>
          <w:highlight w:val="white"/>
        </w:rPr>
        <w:tab/>
      </w:r>
      <w:proofErr w:type="spellStart"/>
      <w:r w:rsidRPr="00310524">
        <w:rPr>
          <w:rFonts w:ascii="Times New Roman" w:hAnsi="Times New Roman" w:cs="Times New Roman"/>
          <w:i/>
          <w:highlight w:val="white"/>
        </w:rPr>
        <w:t>Scorpaeniformes</w:t>
      </w:r>
      <w:proofErr w:type="spellEnd"/>
    </w:p>
    <w:p w14:paraId="0860847B" w14:textId="77777777" w:rsidR="00170E20" w:rsidRPr="00310524" w:rsidRDefault="005D4F94">
      <w:pPr>
        <w:rPr>
          <w:rFonts w:ascii="Times New Roman" w:eastAsia="Times New Roman" w:hAnsi="Times New Roman" w:cs="Times New Roman"/>
          <w:color w:val="222222"/>
          <w:sz w:val="24"/>
          <w:szCs w:val="24"/>
          <w:highlight w:val="white"/>
        </w:rPr>
      </w:pPr>
      <w:proofErr w:type="spellStart"/>
      <w:r w:rsidRPr="00310524">
        <w:rPr>
          <w:rFonts w:ascii="Times New Roman" w:eastAsia="Times New Roman" w:hAnsi="Times New Roman" w:cs="Times New Roman"/>
          <w:color w:val="222222"/>
          <w:sz w:val="24"/>
          <w:szCs w:val="24"/>
          <w:highlight w:val="white"/>
        </w:rPr>
        <w:t>Scorpaeniformes</w:t>
      </w:r>
      <w:proofErr w:type="spellEnd"/>
      <w:r w:rsidRPr="00310524">
        <w:rPr>
          <w:rFonts w:ascii="Times New Roman" w:eastAsia="Times New Roman" w:hAnsi="Times New Roman" w:cs="Times New Roman"/>
          <w:color w:val="222222"/>
          <w:sz w:val="24"/>
          <w:szCs w:val="24"/>
          <w:highlight w:val="white"/>
        </w:rPr>
        <w:t xml:space="preserve"> are one of the largest orders of bony fish, with over 1300 species classified in the order. A study focusing on sea </w:t>
      </w:r>
      <w:proofErr w:type="spellStart"/>
      <w:r w:rsidRPr="00310524">
        <w:rPr>
          <w:rFonts w:ascii="Times New Roman" w:eastAsia="Times New Roman" w:hAnsi="Times New Roman" w:cs="Times New Roman"/>
          <w:color w:val="222222"/>
          <w:sz w:val="24"/>
          <w:szCs w:val="24"/>
          <w:highlight w:val="white"/>
        </w:rPr>
        <w:t>ruffes</w:t>
      </w:r>
      <w:proofErr w:type="spellEnd"/>
      <w:r w:rsidRPr="00310524">
        <w:rPr>
          <w:rFonts w:ascii="Times New Roman" w:eastAsia="Times New Roman" w:hAnsi="Times New Roman" w:cs="Times New Roman"/>
          <w:color w:val="222222"/>
          <w:sz w:val="24"/>
          <w:szCs w:val="24"/>
          <w:highlight w:val="white"/>
        </w:rPr>
        <w:t xml:space="preserve">, a fish in the rockfish family, also found pyrethroids negatively impacted reproductive ability of fish. Researchers exposed sea </w:t>
      </w:r>
      <w:proofErr w:type="spellStart"/>
      <w:r w:rsidRPr="00310524">
        <w:rPr>
          <w:rFonts w:ascii="Times New Roman" w:eastAsia="Times New Roman" w:hAnsi="Times New Roman" w:cs="Times New Roman"/>
          <w:color w:val="222222"/>
          <w:sz w:val="24"/>
          <w:szCs w:val="24"/>
          <w:highlight w:val="white"/>
        </w:rPr>
        <w:t>ruffes</w:t>
      </w:r>
      <w:proofErr w:type="spellEnd"/>
      <w:r w:rsidRPr="00310524">
        <w:rPr>
          <w:rFonts w:ascii="Times New Roman" w:eastAsia="Times New Roman" w:hAnsi="Times New Roman" w:cs="Times New Roman"/>
          <w:color w:val="222222"/>
          <w:sz w:val="24"/>
          <w:szCs w:val="24"/>
          <w:highlight w:val="white"/>
        </w:rPr>
        <w:t xml:space="preserve"> to three levels of bifenthrin for 50 days. Sperm in the groups of fish exposed to bifenthrin was significantly reduced (Li et al 2017). Levels of testosterone in fish exposed to 10ng/l and 100ng/l were also significantly reduced. These changes in sex hormone and sperm production could significantly reduce the reproductive success of fish.</w:t>
      </w:r>
    </w:p>
    <w:p w14:paraId="79C70B4B"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w:t>
      </w:r>
    </w:p>
    <w:p w14:paraId="64092751" w14:textId="77777777" w:rsidR="00170E20" w:rsidRPr="00310524" w:rsidRDefault="005D4F94" w:rsidP="001E00EB">
      <w:pPr>
        <w:pStyle w:val="Heading2"/>
        <w:rPr>
          <w:rFonts w:ascii="Times New Roman" w:hAnsi="Times New Roman" w:cs="Times New Roman"/>
          <w:highlight w:val="white"/>
        </w:rPr>
      </w:pPr>
      <w:bookmarkStart w:id="9" w:name="_2s8eyo1" w:colFirst="0" w:colLast="0"/>
      <w:bookmarkEnd w:id="9"/>
      <w:r w:rsidRPr="00310524">
        <w:rPr>
          <w:rFonts w:ascii="Times New Roman" w:hAnsi="Times New Roman" w:cs="Times New Roman"/>
          <w:highlight w:val="white"/>
        </w:rPr>
        <w:t>Potential Effects of Pyrethroids on Tidewater Goby</w:t>
      </w:r>
    </w:p>
    <w:p w14:paraId="4E363DFE"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Research on lethal concentrations and </w:t>
      </w:r>
      <w:proofErr w:type="spellStart"/>
      <w:r w:rsidRPr="00310524">
        <w:rPr>
          <w:rFonts w:ascii="Times New Roman" w:eastAsia="Times New Roman" w:hAnsi="Times New Roman" w:cs="Times New Roman"/>
          <w:color w:val="222222"/>
          <w:sz w:val="24"/>
          <w:szCs w:val="24"/>
          <w:highlight w:val="white"/>
        </w:rPr>
        <w:t>sublethal</w:t>
      </w:r>
      <w:proofErr w:type="spellEnd"/>
      <w:r w:rsidRPr="00310524">
        <w:rPr>
          <w:rFonts w:ascii="Times New Roman" w:eastAsia="Times New Roman" w:hAnsi="Times New Roman" w:cs="Times New Roman"/>
          <w:color w:val="222222"/>
          <w:sz w:val="24"/>
          <w:szCs w:val="24"/>
          <w:highlight w:val="white"/>
        </w:rPr>
        <w:t xml:space="preserve"> effects of pyrethroids on tidewater gobies is lacking. However, based on research explored about and an understanding tidewater goby behavior, we can speculate about how the pesticides may impact them.</w:t>
      </w:r>
    </w:p>
    <w:p w14:paraId="11F524E0"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w:t>
      </w:r>
    </w:p>
    <w:p w14:paraId="04945290" w14:textId="77777777" w:rsidR="00170E20" w:rsidRPr="00310524" w:rsidRDefault="005D4F94" w:rsidP="001E00EB">
      <w:pPr>
        <w:pStyle w:val="Heading3"/>
        <w:ind w:firstLine="720"/>
        <w:rPr>
          <w:rFonts w:ascii="Times New Roman" w:hAnsi="Times New Roman" w:cs="Times New Roman"/>
          <w:i/>
          <w:highlight w:val="white"/>
        </w:rPr>
      </w:pPr>
      <w:r w:rsidRPr="00310524">
        <w:rPr>
          <w:rFonts w:ascii="Times New Roman" w:hAnsi="Times New Roman" w:cs="Times New Roman"/>
          <w:i/>
          <w:highlight w:val="white"/>
        </w:rPr>
        <w:t>Feeding</w:t>
      </w:r>
    </w:p>
    <w:p w14:paraId="492FFFBB"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The diet of the tidewater goby is an important factor to take into account when looking for impacts of pyrethroids. A study of over 300 tidewater gobies found that they are specialist feeders that on occasion can feed opportunistically. The gobies eat benthic invertebrates and predominantly choose ostracods, </w:t>
      </w:r>
      <w:proofErr w:type="spellStart"/>
      <w:r w:rsidRPr="00310524">
        <w:rPr>
          <w:rFonts w:ascii="Times New Roman" w:eastAsia="Times New Roman" w:hAnsi="Times New Roman" w:cs="Times New Roman"/>
          <w:color w:val="222222"/>
          <w:sz w:val="24"/>
          <w:szCs w:val="24"/>
          <w:highlight w:val="white"/>
        </w:rPr>
        <w:t>chironomid</w:t>
      </w:r>
      <w:proofErr w:type="spellEnd"/>
      <w:r w:rsidRPr="00310524">
        <w:rPr>
          <w:rFonts w:ascii="Times New Roman" w:eastAsia="Times New Roman" w:hAnsi="Times New Roman" w:cs="Times New Roman"/>
          <w:color w:val="222222"/>
          <w:sz w:val="24"/>
          <w:szCs w:val="24"/>
          <w:highlight w:val="white"/>
        </w:rPr>
        <w:t xml:space="preserve"> larvae, and </w:t>
      </w:r>
      <w:proofErr w:type="spellStart"/>
      <w:r w:rsidRPr="00310524">
        <w:rPr>
          <w:rFonts w:ascii="Times New Roman" w:eastAsia="Times New Roman" w:hAnsi="Times New Roman" w:cs="Times New Roman"/>
          <w:color w:val="222222"/>
          <w:sz w:val="24"/>
          <w:szCs w:val="24"/>
          <w:highlight w:val="white"/>
        </w:rPr>
        <w:t>gammarid</w:t>
      </w:r>
      <w:proofErr w:type="spellEnd"/>
      <w:r w:rsidRPr="00310524">
        <w:rPr>
          <w:rFonts w:ascii="Times New Roman" w:eastAsia="Times New Roman" w:hAnsi="Times New Roman" w:cs="Times New Roman"/>
          <w:color w:val="222222"/>
          <w:sz w:val="24"/>
          <w:szCs w:val="24"/>
          <w:highlight w:val="white"/>
        </w:rPr>
        <w:t xml:space="preserve"> amphipods (Swenson &amp; </w:t>
      </w:r>
      <w:r w:rsidRPr="00310524">
        <w:rPr>
          <w:rFonts w:ascii="Times New Roman" w:eastAsia="Times New Roman" w:hAnsi="Times New Roman" w:cs="Times New Roman"/>
          <w:color w:val="222222"/>
          <w:sz w:val="24"/>
          <w:szCs w:val="24"/>
          <w:highlight w:val="white"/>
        </w:rPr>
        <w:lastRenderedPageBreak/>
        <w:t>McCray 1996). Since pyrethroids are extremely hydrophobic they settle out into the sediment. In benthic environments the pyrethroids can remain for extended periods of time and come into contact with these invertebrates.</w:t>
      </w:r>
    </w:p>
    <w:p w14:paraId="51728339"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w:t>
      </w:r>
    </w:p>
    <w:p w14:paraId="3120F6D4"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Studies in the Pacific Northwest have looked at pyrethroid presence in salmon streams and the effects on benthic invertebrates. In one of these studies, around one third of 35 streams sampled contained pyrethroids (Weston et al. 2011). This study sampled both urban and suburban streams and found bifenthrin was the pyrethroid of most concern. In another study in Northern California 32 of 33 urban runoff sites, and 12 of 18 Public Owned Treatment Works (POTWs) had pyrethroids, with bifenthrin again being the most prevalent (Weston et al. 2009). Both of these studies found to varying degrees that pyrethroid levels in benthic sediments reached acute toxicity for amphipods and </w:t>
      </w:r>
      <w:proofErr w:type="spellStart"/>
      <w:r w:rsidRPr="00310524">
        <w:rPr>
          <w:rFonts w:ascii="Times New Roman" w:eastAsia="Times New Roman" w:hAnsi="Times New Roman" w:cs="Times New Roman"/>
          <w:color w:val="222222"/>
          <w:sz w:val="24"/>
          <w:szCs w:val="24"/>
          <w:highlight w:val="white"/>
        </w:rPr>
        <w:t>chironomids</w:t>
      </w:r>
      <w:proofErr w:type="spellEnd"/>
      <w:r w:rsidRPr="00310524">
        <w:rPr>
          <w:rFonts w:ascii="Times New Roman" w:eastAsia="Times New Roman" w:hAnsi="Times New Roman" w:cs="Times New Roman"/>
          <w:color w:val="222222"/>
          <w:sz w:val="24"/>
          <w:szCs w:val="24"/>
          <w:highlight w:val="white"/>
        </w:rPr>
        <w:t>. Toxicity to invertebrates was inversely correlated with temperature (Weston et al. 2011). In a study testing toxicity of lambda-</w:t>
      </w:r>
      <w:proofErr w:type="spellStart"/>
      <w:r w:rsidRPr="00310524">
        <w:rPr>
          <w:rFonts w:ascii="Times New Roman" w:eastAsia="Times New Roman" w:hAnsi="Times New Roman" w:cs="Times New Roman"/>
          <w:color w:val="222222"/>
          <w:sz w:val="24"/>
          <w:szCs w:val="24"/>
          <w:highlight w:val="white"/>
        </w:rPr>
        <w:t>cyhalothrin</w:t>
      </w:r>
      <w:proofErr w:type="spellEnd"/>
      <w:r w:rsidRPr="00310524">
        <w:rPr>
          <w:rFonts w:ascii="Times New Roman" w:eastAsia="Times New Roman" w:hAnsi="Times New Roman" w:cs="Times New Roman"/>
          <w:color w:val="222222"/>
          <w:sz w:val="24"/>
          <w:szCs w:val="24"/>
          <w:highlight w:val="white"/>
        </w:rPr>
        <w:t xml:space="preserve"> and </w:t>
      </w:r>
      <w:proofErr w:type="spellStart"/>
      <w:r w:rsidRPr="00310524">
        <w:rPr>
          <w:rFonts w:ascii="Times New Roman" w:eastAsia="Times New Roman" w:hAnsi="Times New Roman" w:cs="Times New Roman"/>
          <w:color w:val="222222"/>
          <w:sz w:val="24"/>
          <w:szCs w:val="24"/>
          <w:highlight w:val="white"/>
        </w:rPr>
        <w:t>cypermethrin</w:t>
      </w:r>
      <w:proofErr w:type="spellEnd"/>
      <w:r w:rsidRPr="00310524">
        <w:rPr>
          <w:rFonts w:ascii="Times New Roman" w:eastAsia="Times New Roman" w:hAnsi="Times New Roman" w:cs="Times New Roman"/>
          <w:color w:val="222222"/>
          <w:sz w:val="24"/>
          <w:szCs w:val="24"/>
          <w:highlight w:val="white"/>
        </w:rPr>
        <w:t xml:space="preserve"> in </w:t>
      </w:r>
      <w:proofErr w:type="spellStart"/>
      <w:r w:rsidRPr="00310524">
        <w:rPr>
          <w:rFonts w:ascii="Times New Roman" w:eastAsia="Times New Roman" w:hAnsi="Times New Roman" w:cs="Times New Roman"/>
          <w:color w:val="222222"/>
          <w:sz w:val="24"/>
          <w:szCs w:val="24"/>
          <w:highlight w:val="white"/>
        </w:rPr>
        <w:t>mesocosms</w:t>
      </w:r>
      <w:proofErr w:type="spellEnd"/>
      <w:r w:rsidRPr="00310524">
        <w:rPr>
          <w:rFonts w:ascii="Times New Roman" w:eastAsia="Times New Roman" w:hAnsi="Times New Roman" w:cs="Times New Roman"/>
          <w:color w:val="222222"/>
          <w:sz w:val="24"/>
          <w:szCs w:val="24"/>
          <w:highlight w:val="white"/>
        </w:rPr>
        <w:t xml:space="preserve">, </w:t>
      </w:r>
      <w:proofErr w:type="spellStart"/>
      <w:r w:rsidRPr="00310524">
        <w:rPr>
          <w:rFonts w:ascii="Times New Roman" w:eastAsia="Times New Roman" w:hAnsi="Times New Roman" w:cs="Times New Roman"/>
          <w:color w:val="222222"/>
          <w:sz w:val="24"/>
          <w:szCs w:val="24"/>
          <w:highlight w:val="white"/>
        </w:rPr>
        <w:t>gammarid</w:t>
      </w:r>
      <w:proofErr w:type="spellEnd"/>
      <w:r w:rsidRPr="00310524">
        <w:rPr>
          <w:rFonts w:ascii="Times New Roman" w:eastAsia="Times New Roman" w:hAnsi="Times New Roman" w:cs="Times New Roman"/>
          <w:color w:val="222222"/>
          <w:sz w:val="24"/>
          <w:szCs w:val="24"/>
          <w:highlight w:val="white"/>
        </w:rPr>
        <w:t xml:space="preserve"> communities were completely wiped out while </w:t>
      </w:r>
      <w:proofErr w:type="spellStart"/>
      <w:r w:rsidRPr="00310524">
        <w:rPr>
          <w:rFonts w:ascii="Times New Roman" w:eastAsia="Times New Roman" w:hAnsi="Times New Roman" w:cs="Times New Roman"/>
          <w:color w:val="222222"/>
          <w:sz w:val="24"/>
          <w:szCs w:val="24"/>
          <w:highlight w:val="white"/>
        </w:rPr>
        <w:t>chironomids</w:t>
      </w:r>
      <w:proofErr w:type="spellEnd"/>
      <w:r w:rsidRPr="00310524">
        <w:rPr>
          <w:rFonts w:ascii="Times New Roman" w:eastAsia="Times New Roman" w:hAnsi="Times New Roman" w:cs="Times New Roman"/>
          <w:color w:val="222222"/>
          <w:sz w:val="24"/>
          <w:szCs w:val="24"/>
          <w:highlight w:val="white"/>
        </w:rPr>
        <w:t xml:space="preserve"> saw increases in populations (Farmer et al. 1994). Toxicity to benthic invertebrates could pose serious risk to fish, like the tidewater goby that rely on these sources of food. It will also be important to determine pyrethroid uptake rate from food, and the different responses among food sources to different types of pyrethroids. </w:t>
      </w:r>
    </w:p>
    <w:p w14:paraId="58A9E3AD" w14:textId="77777777" w:rsidR="00170E20" w:rsidRPr="00310524" w:rsidRDefault="00170E20">
      <w:pPr>
        <w:rPr>
          <w:rFonts w:ascii="Times New Roman" w:eastAsia="Times New Roman" w:hAnsi="Times New Roman" w:cs="Times New Roman"/>
          <w:color w:val="222222"/>
          <w:sz w:val="24"/>
          <w:szCs w:val="24"/>
          <w:highlight w:val="white"/>
        </w:rPr>
      </w:pPr>
    </w:p>
    <w:p w14:paraId="08905AB0" w14:textId="77777777" w:rsidR="00170E20" w:rsidRPr="00310524" w:rsidRDefault="005D4F94" w:rsidP="001E00EB">
      <w:pPr>
        <w:pStyle w:val="Heading2"/>
        <w:rPr>
          <w:rFonts w:ascii="Times New Roman" w:hAnsi="Times New Roman" w:cs="Times New Roman"/>
          <w:highlight w:val="white"/>
        </w:rPr>
      </w:pPr>
      <w:r w:rsidRPr="00310524">
        <w:rPr>
          <w:rFonts w:ascii="Times New Roman" w:hAnsi="Times New Roman" w:cs="Times New Roman"/>
          <w:highlight w:val="white"/>
        </w:rPr>
        <w:t>Pyrethroid Best Management Plans</w:t>
      </w:r>
    </w:p>
    <w:p w14:paraId="24F3C890" w14:textId="51E01B89" w:rsidR="00170E20" w:rsidRPr="00310524" w:rsidRDefault="005D4F94">
      <w:pPr>
        <w:jc w:val="both"/>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While there is growing concern over the potential impacts pyrethroids may have if they run off into waterways, research shows there may be management practices that could significantly reduce these risks. In a study in Salinas California, researchers analyzed storm water runoff from three urban sites with </w:t>
      </w:r>
      <w:proofErr w:type="spellStart"/>
      <w:r w:rsidRPr="00310524">
        <w:rPr>
          <w:rFonts w:ascii="Times New Roman" w:eastAsia="Times New Roman" w:hAnsi="Times New Roman" w:cs="Times New Roman"/>
          <w:color w:val="222222"/>
          <w:sz w:val="24"/>
          <w:szCs w:val="24"/>
          <w:highlight w:val="white"/>
        </w:rPr>
        <w:t>bioswales</w:t>
      </w:r>
      <w:proofErr w:type="spellEnd"/>
      <w:r w:rsidRPr="00310524">
        <w:rPr>
          <w:rFonts w:ascii="Times New Roman" w:eastAsia="Times New Roman" w:hAnsi="Times New Roman" w:cs="Times New Roman"/>
          <w:color w:val="222222"/>
          <w:sz w:val="24"/>
          <w:szCs w:val="24"/>
          <w:highlight w:val="white"/>
        </w:rPr>
        <w:t xml:space="preserve">. Researchers collected water before it flowed into the </w:t>
      </w:r>
      <w:proofErr w:type="spellStart"/>
      <w:r w:rsidRPr="00310524">
        <w:rPr>
          <w:rFonts w:ascii="Times New Roman" w:eastAsia="Times New Roman" w:hAnsi="Times New Roman" w:cs="Times New Roman"/>
          <w:color w:val="222222"/>
          <w:sz w:val="24"/>
          <w:szCs w:val="24"/>
          <w:highlight w:val="white"/>
        </w:rPr>
        <w:t>bioswales</w:t>
      </w:r>
      <w:proofErr w:type="spellEnd"/>
      <w:r w:rsidRPr="00310524">
        <w:rPr>
          <w:rFonts w:ascii="Times New Roman" w:eastAsia="Times New Roman" w:hAnsi="Times New Roman" w:cs="Times New Roman"/>
          <w:color w:val="222222"/>
          <w:sz w:val="24"/>
          <w:szCs w:val="24"/>
          <w:highlight w:val="white"/>
        </w:rPr>
        <w:t xml:space="preserve">, and water that was flowing out of the </w:t>
      </w:r>
      <w:proofErr w:type="spellStart"/>
      <w:r w:rsidRPr="00310524">
        <w:rPr>
          <w:rFonts w:ascii="Times New Roman" w:eastAsia="Times New Roman" w:hAnsi="Times New Roman" w:cs="Times New Roman"/>
          <w:color w:val="222222"/>
          <w:sz w:val="24"/>
          <w:szCs w:val="24"/>
          <w:highlight w:val="white"/>
        </w:rPr>
        <w:t>bioswales</w:t>
      </w:r>
      <w:proofErr w:type="spellEnd"/>
      <w:r w:rsidRPr="00310524">
        <w:rPr>
          <w:rFonts w:ascii="Times New Roman" w:eastAsia="Times New Roman" w:hAnsi="Times New Roman" w:cs="Times New Roman"/>
          <w:color w:val="222222"/>
          <w:sz w:val="24"/>
          <w:szCs w:val="24"/>
          <w:highlight w:val="white"/>
        </w:rPr>
        <w:t xml:space="preserve">. When analyzing these water </w:t>
      </w:r>
      <w:r w:rsidR="008D4A67" w:rsidRPr="00310524">
        <w:rPr>
          <w:rFonts w:ascii="Times New Roman" w:eastAsia="Times New Roman" w:hAnsi="Times New Roman" w:cs="Times New Roman"/>
          <w:color w:val="222222"/>
          <w:sz w:val="24"/>
          <w:szCs w:val="24"/>
          <w:highlight w:val="white"/>
        </w:rPr>
        <w:t>samples,</w:t>
      </w:r>
      <w:r w:rsidRPr="00310524">
        <w:rPr>
          <w:rFonts w:ascii="Times New Roman" w:eastAsia="Times New Roman" w:hAnsi="Times New Roman" w:cs="Times New Roman"/>
          <w:color w:val="222222"/>
          <w:sz w:val="24"/>
          <w:szCs w:val="24"/>
          <w:highlight w:val="white"/>
        </w:rPr>
        <w:t xml:space="preserve"> they found that the </w:t>
      </w:r>
      <w:proofErr w:type="spellStart"/>
      <w:r w:rsidRPr="00310524">
        <w:rPr>
          <w:rFonts w:ascii="Times New Roman" w:eastAsia="Times New Roman" w:hAnsi="Times New Roman" w:cs="Times New Roman"/>
          <w:color w:val="222222"/>
          <w:sz w:val="24"/>
          <w:szCs w:val="24"/>
          <w:highlight w:val="white"/>
        </w:rPr>
        <w:t>bioswales</w:t>
      </w:r>
      <w:proofErr w:type="spellEnd"/>
      <w:r w:rsidRPr="00310524">
        <w:rPr>
          <w:rFonts w:ascii="Times New Roman" w:eastAsia="Times New Roman" w:hAnsi="Times New Roman" w:cs="Times New Roman"/>
          <w:color w:val="222222"/>
          <w:sz w:val="24"/>
          <w:szCs w:val="24"/>
          <w:highlight w:val="white"/>
        </w:rPr>
        <w:t xml:space="preserve"> reduced the presence of pyrethroids by 74% (Anderson et al. 2016). The significant reductions in pesticides observed during storm runoff demonstrate that </w:t>
      </w:r>
      <w:proofErr w:type="spellStart"/>
      <w:r w:rsidRPr="00310524">
        <w:rPr>
          <w:rFonts w:ascii="Times New Roman" w:eastAsia="Times New Roman" w:hAnsi="Times New Roman" w:cs="Times New Roman"/>
          <w:color w:val="222222"/>
          <w:sz w:val="24"/>
          <w:szCs w:val="24"/>
          <w:highlight w:val="white"/>
        </w:rPr>
        <w:t>bioswales</w:t>
      </w:r>
      <w:proofErr w:type="spellEnd"/>
      <w:r w:rsidRPr="00310524">
        <w:rPr>
          <w:rFonts w:ascii="Times New Roman" w:eastAsia="Times New Roman" w:hAnsi="Times New Roman" w:cs="Times New Roman"/>
          <w:color w:val="222222"/>
          <w:sz w:val="24"/>
          <w:szCs w:val="24"/>
          <w:highlight w:val="white"/>
        </w:rPr>
        <w:t xml:space="preserve"> could provide an important management tool in minimizing the damage of pyrethroids coming from urban areas.</w:t>
      </w:r>
    </w:p>
    <w:p w14:paraId="3761FFC0" w14:textId="77777777" w:rsidR="00170E20" w:rsidRPr="00310524" w:rsidRDefault="005D4F94">
      <w:pPr>
        <w:jc w:val="both"/>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w:t>
      </w:r>
    </w:p>
    <w:p w14:paraId="459D2E82" w14:textId="77777777" w:rsidR="00170E20" w:rsidRPr="00310524" w:rsidRDefault="005D4F94">
      <w:pPr>
        <w:jc w:val="both"/>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There are a number of techniques that can slow down or prevent pyrethroids leaching from agricultural applications to sensitive locations. One of these methods is the use of field buffers </w:t>
      </w:r>
      <w:proofErr w:type="gramStart"/>
      <w:r w:rsidRPr="00310524">
        <w:rPr>
          <w:rFonts w:ascii="Times New Roman" w:eastAsia="Times New Roman" w:hAnsi="Times New Roman" w:cs="Times New Roman"/>
          <w:color w:val="222222"/>
          <w:sz w:val="24"/>
          <w:szCs w:val="24"/>
          <w:highlight w:val="white"/>
        </w:rPr>
        <w:t>to</w:t>
      </w:r>
      <w:proofErr w:type="gramEnd"/>
      <w:r w:rsidRPr="00310524">
        <w:rPr>
          <w:rFonts w:ascii="Times New Roman" w:eastAsia="Times New Roman" w:hAnsi="Times New Roman" w:cs="Times New Roman"/>
          <w:color w:val="222222"/>
          <w:sz w:val="24"/>
          <w:szCs w:val="24"/>
          <w:highlight w:val="white"/>
        </w:rPr>
        <w:t xml:space="preserve"> slow and direct the flow of sediment runoff. Since pyrethroids are hydrophobic and are present in sediment, controlling the flow of sediment runoff could be an important tool for directing runoff of pyrethroids. Field buffers also offer an opportunity to mitigate pyrethroids from reaching sensitive habitats. Creating a vegetated drainage ditch and placing it where runoff is directed from can stop the transport of pyrethroids. In a study focusing on </w:t>
      </w:r>
      <w:proofErr w:type="spellStart"/>
      <w:r w:rsidRPr="00310524">
        <w:rPr>
          <w:rFonts w:ascii="Times New Roman" w:eastAsia="Times New Roman" w:hAnsi="Times New Roman" w:cs="Times New Roman"/>
          <w:color w:val="222222"/>
          <w:sz w:val="24"/>
          <w:szCs w:val="24"/>
          <w:highlight w:val="white"/>
        </w:rPr>
        <w:t>lamda-cyhalothrin</w:t>
      </w:r>
      <w:proofErr w:type="spellEnd"/>
      <w:r w:rsidRPr="00310524">
        <w:rPr>
          <w:rFonts w:ascii="Times New Roman" w:eastAsia="Times New Roman" w:hAnsi="Times New Roman" w:cs="Times New Roman"/>
          <w:color w:val="222222"/>
          <w:sz w:val="24"/>
          <w:szCs w:val="24"/>
          <w:highlight w:val="white"/>
        </w:rPr>
        <w:t xml:space="preserve"> (Karate) in Mississippi, a </w:t>
      </w:r>
      <w:proofErr w:type="gramStart"/>
      <w:r w:rsidRPr="00310524">
        <w:rPr>
          <w:rFonts w:ascii="Times New Roman" w:eastAsia="Times New Roman" w:hAnsi="Times New Roman" w:cs="Times New Roman"/>
          <w:color w:val="222222"/>
          <w:sz w:val="24"/>
          <w:szCs w:val="24"/>
          <w:highlight w:val="white"/>
        </w:rPr>
        <w:t>650 meter</w:t>
      </w:r>
      <w:proofErr w:type="gramEnd"/>
      <w:r w:rsidRPr="00310524">
        <w:rPr>
          <w:rFonts w:ascii="Times New Roman" w:eastAsia="Times New Roman" w:hAnsi="Times New Roman" w:cs="Times New Roman"/>
          <w:color w:val="222222"/>
          <w:sz w:val="24"/>
          <w:szCs w:val="24"/>
          <w:highlight w:val="white"/>
        </w:rPr>
        <w:t xml:space="preserve"> vegetated drainage ditch was created. Three hours after introducing this pyrethroid at the top of the ditch, 90% of the pesticide was captured from the drainage ditch water, 8% was captured in plants and 1% was captured in the sediment (Dabney et al. 2006). </w:t>
      </w:r>
      <w:r w:rsidRPr="00310524">
        <w:rPr>
          <w:rFonts w:ascii="Times New Roman" w:eastAsia="Times New Roman" w:hAnsi="Times New Roman" w:cs="Times New Roman"/>
          <w:color w:val="222222"/>
          <w:sz w:val="24"/>
          <w:szCs w:val="24"/>
          <w:highlight w:val="white"/>
        </w:rPr>
        <w:lastRenderedPageBreak/>
        <w:t xml:space="preserve">Sampling of outflow of the vegetated ditch showed that almost no pesticide reached the end of the ditch. This type of management technique could be implemented to contain pyrethroids and stop them from entering sensitive habitats.  </w:t>
      </w:r>
    </w:p>
    <w:p w14:paraId="3A0E0F30" w14:textId="77777777" w:rsidR="00170E20" w:rsidRPr="00310524" w:rsidRDefault="00170E20">
      <w:pPr>
        <w:jc w:val="both"/>
        <w:rPr>
          <w:rFonts w:ascii="Times New Roman" w:eastAsia="Times New Roman" w:hAnsi="Times New Roman" w:cs="Times New Roman"/>
          <w:color w:val="222222"/>
          <w:sz w:val="24"/>
          <w:szCs w:val="24"/>
          <w:highlight w:val="white"/>
        </w:rPr>
      </w:pPr>
    </w:p>
    <w:p w14:paraId="486975BC" w14:textId="77777777" w:rsidR="00170E20" w:rsidRPr="00310524" w:rsidRDefault="005D4F94" w:rsidP="001E00EB">
      <w:pPr>
        <w:pStyle w:val="Heading2"/>
        <w:rPr>
          <w:rFonts w:ascii="Times New Roman" w:hAnsi="Times New Roman" w:cs="Times New Roman"/>
          <w:highlight w:val="white"/>
        </w:rPr>
      </w:pPr>
      <w:bookmarkStart w:id="10" w:name="_og3s9yfxf481" w:colFirst="0" w:colLast="0"/>
      <w:bookmarkEnd w:id="10"/>
      <w:r w:rsidRPr="00310524">
        <w:rPr>
          <w:rFonts w:ascii="Times New Roman" w:hAnsi="Times New Roman" w:cs="Times New Roman"/>
          <w:highlight w:val="white"/>
        </w:rPr>
        <w:t>Integrated Pest Management</w:t>
      </w:r>
    </w:p>
    <w:p w14:paraId="10D68A36" w14:textId="77777777" w:rsidR="00170E20" w:rsidRPr="00310524" w:rsidRDefault="005D4F94">
      <w:pPr>
        <w:rPr>
          <w:rFonts w:ascii="Times New Roman" w:eastAsia="Times New Roman" w:hAnsi="Times New Roman" w:cs="Times New Roman"/>
        </w:rPr>
      </w:pPr>
      <w:r w:rsidRPr="00310524">
        <w:rPr>
          <w:rFonts w:ascii="Times New Roman" w:eastAsia="Times New Roman" w:hAnsi="Times New Roman" w:cs="Times New Roman"/>
        </w:rPr>
        <w:t>Integrated Pest Management (IPM) is the use of various methods to achieve less pesticide use or risk. The University of California IPM Program more specifically defines it as “an ecosystem based strategy that focuses on long-term prevention of pest or their damage through a combination of techniques such as biological control, habitat manipulation, modification of cultural practices, a</w:t>
      </w:r>
      <w:r w:rsidR="001E00EB" w:rsidRPr="00310524">
        <w:rPr>
          <w:rFonts w:ascii="Times New Roman" w:eastAsia="Times New Roman" w:hAnsi="Times New Roman" w:cs="Times New Roman"/>
        </w:rPr>
        <w:t xml:space="preserve">nd use of resistant varieties” </w:t>
      </w:r>
      <w:r w:rsidRPr="00310524">
        <w:rPr>
          <w:rFonts w:ascii="Times New Roman" w:eastAsia="Times New Roman" w:hAnsi="Times New Roman" w:cs="Times New Roman"/>
        </w:rPr>
        <w:t>(</w:t>
      </w:r>
      <w:r w:rsidR="001E00EB" w:rsidRPr="00310524">
        <w:rPr>
          <w:rFonts w:ascii="Times New Roman" w:eastAsia="Times New Roman" w:hAnsi="Times New Roman" w:cs="Times New Roman"/>
        </w:rPr>
        <w:t xml:space="preserve">UC IPM 2016). These strategies </w:t>
      </w:r>
      <w:r w:rsidRPr="00310524">
        <w:rPr>
          <w:rFonts w:ascii="Times New Roman" w:eastAsia="Times New Roman" w:hAnsi="Times New Roman" w:cs="Times New Roman"/>
        </w:rPr>
        <w:t>can be used for both agricultural and non-agricultural pest management.</w:t>
      </w:r>
    </w:p>
    <w:p w14:paraId="1180F616" w14:textId="77777777" w:rsidR="001E00EB" w:rsidRPr="00310524" w:rsidRDefault="001E00EB">
      <w:pPr>
        <w:ind w:firstLine="720"/>
        <w:rPr>
          <w:rFonts w:ascii="Times New Roman" w:eastAsia="Times New Roman" w:hAnsi="Times New Roman" w:cs="Times New Roman"/>
          <w:i/>
        </w:rPr>
      </w:pPr>
    </w:p>
    <w:p w14:paraId="1B6D73E0" w14:textId="77777777" w:rsidR="00170E20" w:rsidRPr="00310524" w:rsidRDefault="005D4F94" w:rsidP="001E00EB">
      <w:pPr>
        <w:pStyle w:val="Heading3"/>
        <w:ind w:firstLine="720"/>
        <w:rPr>
          <w:rFonts w:ascii="Times New Roman" w:hAnsi="Times New Roman" w:cs="Times New Roman"/>
          <w:i/>
        </w:rPr>
      </w:pPr>
      <w:r w:rsidRPr="00310524">
        <w:rPr>
          <w:rFonts w:ascii="Times New Roman" w:hAnsi="Times New Roman" w:cs="Times New Roman"/>
          <w:i/>
        </w:rPr>
        <w:t>Non-agricultural</w:t>
      </w:r>
    </w:p>
    <w:p w14:paraId="51030F99" w14:textId="77777777" w:rsidR="00170E20" w:rsidRPr="00310524" w:rsidRDefault="005D4F94">
      <w:pPr>
        <w:rPr>
          <w:rFonts w:ascii="Times New Roman" w:eastAsia="Times New Roman" w:hAnsi="Times New Roman" w:cs="Times New Roman"/>
        </w:rPr>
      </w:pPr>
      <w:r w:rsidRPr="00310524">
        <w:rPr>
          <w:rFonts w:ascii="Times New Roman" w:eastAsia="Times New Roman" w:hAnsi="Times New Roman" w:cs="Times New Roman"/>
        </w:rPr>
        <w:t xml:space="preserve">There are a variety of low toxicity IPM strategies and alternative materials for urban/structural pest management to reduce the risk of insecticide runoff. The most common is the reduction of the frequency of applications and the amounts of pyrethroids applied. UC Riverside Urban Entomology Department found that Pest Management Professionals could reduce pyrethroid applications by 75% and still provide cost-effective pest control (UC IPM 2016). This includes using modified application techniques such as pin-stream applications, spray free zones on hardscapes, limiting pesticide treatments to just structure foundations and the reduction of applications around impervious surfaces such as concrete (Greenberg 2010). </w:t>
      </w:r>
    </w:p>
    <w:p w14:paraId="7D7A3566" w14:textId="77777777" w:rsidR="00170E20" w:rsidRPr="00310524" w:rsidRDefault="00170E20">
      <w:pPr>
        <w:rPr>
          <w:rFonts w:ascii="Times New Roman" w:eastAsia="Times New Roman" w:hAnsi="Times New Roman" w:cs="Times New Roman"/>
        </w:rPr>
      </w:pPr>
    </w:p>
    <w:p w14:paraId="545F7B92" w14:textId="77777777" w:rsidR="00170E20" w:rsidRPr="00310524" w:rsidRDefault="005D4F94">
      <w:pPr>
        <w:rPr>
          <w:rFonts w:ascii="Times New Roman" w:eastAsia="Times New Roman" w:hAnsi="Times New Roman" w:cs="Times New Roman"/>
        </w:rPr>
      </w:pPr>
      <w:r w:rsidRPr="00310524">
        <w:rPr>
          <w:rFonts w:ascii="Times New Roman" w:eastAsia="Times New Roman" w:hAnsi="Times New Roman" w:cs="Times New Roman"/>
        </w:rPr>
        <w:t xml:space="preserve">Alternative materials such as botanicals oils can be used for fire ant treatment, a heavy use for bifenthrin. This includes using 2-phenethyl propionate (derived from peanuts), thyme oil, or the natural pyrethrins instead of synthetic compounds such as bifenthrin. A study conducted by the Department of Entomology UC Riverside, found that monthly applications of botanicals compared to bimonthly use of more traditional insecticides controlled ants at about the same level. The same study also found that using bifenthrin granules instead of spray led to a significant decrease in runoff (Greenberg 2014). This study highlights the effect that small changes in pest management strategies in Urban settings can have on total bifenthrin runoff. </w:t>
      </w:r>
    </w:p>
    <w:p w14:paraId="6E147112" w14:textId="77777777" w:rsidR="00170E20" w:rsidRPr="00310524" w:rsidRDefault="00170E20">
      <w:pPr>
        <w:rPr>
          <w:rFonts w:ascii="Times New Roman" w:eastAsia="Times New Roman" w:hAnsi="Times New Roman" w:cs="Times New Roman"/>
        </w:rPr>
      </w:pPr>
    </w:p>
    <w:p w14:paraId="2142A1FF" w14:textId="77777777" w:rsidR="00170E20" w:rsidRPr="00310524" w:rsidRDefault="005D4F94" w:rsidP="001E00EB">
      <w:pPr>
        <w:pStyle w:val="Heading3"/>
        <w:ind w:firstLine="720"/>
        <w:rPr>
          <w:rFonts w:ascii="Times New Roman" w:hAnsi="Times New Roman" w:cs="Times New Roman"/>
          <w:i/>
        </w:rPr>
      </w:pPr>
      <w:r w:rsidRPr="00310524">
        <w:rPr>
          <w:rFonts w:ascii="Times New Roman" w:hAnsi="Times New Roman" w:cs="Times New Roman"/>
          <w:i/>
        </w:rPr>
        <w:t>Agricultural</w:t>
      </w:r>
    </w:p>
    <w:p w14:paraId="144D8131" w14:textId="77777777" w:rsidR="00170E20" w:rsidRPr="00310524" w:rsidRDefault="005D4F94">
      <w:pPr>
        <w:rPr>
          <w:rFonts w:ascii="Times New Roman" w:eastAsia="Times New Roman" w:hAnsi="Times New Roman" w:cs="Times New Roman"/>
        </w:rPr>
      </w:pPr>
      <w:r w:rsidRPr="00310524">
        <w:rPr>
          <w:rFonts w:ascii="Times New Roman" w:eastAsia="Times New Roman" w:hAnsi="Times New Roman" w:cs="Times New Roman"/>
        </w:rPr>
        <w:t xml:space="preserve">IPM practices are far ranging in their methods and have found various levels of success in the agriculture sector. This section of the literature review will focus on techniques that have been proven to reduce pyrethroid use on crops grown in the study area. </w:t>
      </w:r>
    </w:p>
    <w:p w14:paraId="7C61E833" w14:textId="77777777" w:rsidR="00170E20" w:rsidRPr="00310524" w:rsidRDefault="00170E20">
      <w:pPr>
        <w:rPr>
          <w:rFonts w:ascii="Times New Roman" w:eastAsia="Times New Roman" w:hAnsi="Times New Roman" w:cs="Times New Roman"/>
        </w:rPr>
      </w:pPr>
    </w:p>
    <w:p w14:paraId="5315DD98" w14:textId="77777777" w:rsidR="00170E20" w:rsidRPr="00310524" w:rsidRDefault="005D4F94">
      <w:pPr>
        <w:rPr>
          <w:rFonts w:ascii="Times New Roman" w:eastAsia="Times New Roman" w:hAnsi="Times New Roman" w:cs="Times New Roman"/>
        </w:rPr>
      </w:pPr>
      <w:r w:rsidRPr="00310524">
        <w:rPr>
          <w:rFonts w:ascii="Times New Roman" w:eastAsia="Times New Roman" w:hAnsi="Times New Roman" w:cs="Times New Roman"/>
        </w:rPr>
        <w:t xml:space="preserve">IPM techniques to reduce the prevalence of pests on strawberries includes controlling weed hosts in adjacent areas to the strawberry field, appropriately timed pesticide applications, choosing the right </w:t>
      </w:r>
      <w:proofErr w:type="spellStart"/>
      <w:proofErr w:type="gramStart"/>
      <w:r w:rsidRPr="00310524">
        <w:rPr>
          <w:rFonts w:ascii="Times New Roman" w:eastAsia="Times New Roman" w:hAnsi="Times New Roman" w:cs="Times New Roman"/>
        </w:rPr>
        <w:t>pesticide,as</w:t>
      </w:r>
      <w:proofErr w:type="spellEnd"/>
      <w:proofErr w:type="gramEnd"/>
      <w:r w:rsidRPr="00310524">
        <w:rPr>
          <w:rFonts w:ascii="Times New Roman" w:eastAsia="Times New Roman" w:hAnsi="Times New Roman" w:cs="Times New Roman"/>
        </w:rPr>
        <w:t xml:space="preserve"> well as choosing the correct application medium (UC IPM 2016). Since the tidewater goby is affected when large amounts of pesticides are moved off site, water management practices can reduce the runoff of pesticides into critical habitat. This can include using drip irrigation, irrigation recirculation, and limiting total irrigation. </w:t>
      </w:r>
    </w:p>
    <w:p w14:paraId="08E2EDCF" w14:textId="77777777" w:rsidR="00170E20" w:rsidRPr="00310524" w:rsidRDefault="00170E20">
      <w:pPr>
        <w:rPr>
          <w:rFonts w:ascii="Times New Roman" w:eastAsia="Times New Roman" w:hAnsi="Times New Roman" w:cs="Times New Roman"/>
        </w:rPr>
      </w:pPr>
    </w:p>
    <w:p w14:paraId="04C9CCA9" w14:textId="77777777" w:rsidR="00170E20" w:rsidRPr="00310524" w:rsidRDefault="005D4F94">
      <w:pPr>
        <w:rPr>
          <w:rFonts w:ascii="Times New Roman" w:eastAsia="Times New Roman" w:hAnsi="Times New Roman" w:cs="Times New Roman"/>
        </w:rPr>
      </w:pPr>
      <w:r w:rsidRPr="00310524">
        <w:rPr>
          <w:rFonts w:ascii="Times New Roman" w:eastAsia="Times New Roman" w:hAnsi="Times New Roman" w:cs="Times New Roman"/>
        </w:rPr>
        <w:t xml:space="preserve">Since pyrethroids are mainly carried to surface waters </w:t>
      </w:r>
      <w:proofErr w:type="spellStart"/>
      <w:r w:rsidRPr="00310524">
        <w:rPr>
          <w:rFonts w:ascii="Times New Roman" w:eastAsia="Times New Roman" w:hAnsi="Times New Roman" w:cs="Times New Roman"/>
        </w:rPr>
        <w:t>sorbed</w:t>
      </w:r>
      <w:proofErr w:type="spellEnd"/>
      <w:r w:rsidRPr="00310524">
        <w:rPr>
          <w:rFonts w:ascii="Times New Roman" w:eastAsia="Times New Roman" w:hAnsi="Times New Roman" w:cs="Times New Roman"/>
        </w:rPr>
        <w:t xml:space="preserve"> to sediments during runoff events, various </w:t>
      </w:r>
      <w:r w:rsidRPr="00310524">
        <w:rPr>
          <w:rFonts w:ascii="Times New Roman" w:eastAsia="Times New Roman" w:hAnsi="Times New Roman" w:cs="Times New Roman"/>
        </w:rPr>
        <w:lastRenderedPageBreak/>
        <w:t>BMPs have studied reducing pesticide use during high runoff times. Currently the California Statewide Integrated Pest Management Project is</w:t>
      </w:r>
      <w:r w:rsidR="001E00EB" w:rsidRPr="00310524">
        <w:rPr>
          <w:rFonts w:ascii="Times New Roman" w:eastAsia="Times New Roman" w:hAnsi="Times New Roman" w:cs="Times New Roman"/>
        </w:rPr>
        <w:t xml:space="preserve"> promoting the replacement of</w:t>
      </w:r>
      <w:r w:rsidRPr="00310524">
        <w:rPr>
          <w:rFonts w:ascii="Times New Roman" w:eastAsia="Times New Roman" w:hAnsi="Times New Roman" w:cs="Times New Roman"/>
        </w:rPr>
        <w:t xml:space="preserve"> the use of pesticides on almonds during the rainy season or winter in California with alternative practices (Epstein 2003). However, other studies have shown that winter applications of pesticides </w:t>
      </w:r>
      <w:proofErr w:type="gramStart"/>
      <w:r w:rsidRPr="00310524">
        <w:rPr>
          <w:rFonts w:ascii="Times New Roman" w:eastAsia="Times New Roman" w:hAnsi="Times New Roman" w:cs="Times New Roman"/>
        </w:rPr>
        <w:t>has</w:t>
      </w:r>
      <w:proofErr w:type="gramEnd"/>
      <w:r w:rsidRPr="00310524">
        <w:rPr>
          <w:rFonts w:ascii="Times New Roman" w:eastAsia="Times New Roman" w:hAnsi="Times New Roman" w:cs="Times New Roman"/>
        </w:rPr>
        <w:t xml:space="preserve"> some environmental advantages; including replacing multiple applications during the growing season, fewer adverse effects on beneficial arthropods, less exposure to field workers, and no exposure of fruit to potential residues (Epstein 2003). Further analysis is needed to see if this BMP is feasible for strawberry cultivation in Ventura County. </w:t>
      </w:r>
    </w:p>
    <w:p w14:paraId="4CBD142F" w14:textId="77777777" w:rsidR="00170E20" w:rsidRPr="00310524" w:rsidRDefault="00170E20">
      <w:pPr>
        <w:jc w:val="both"/>
        <w:rPr>
          <w:rFonts w:ascii="Times New Roman" w:eastAsia="Times New Roman" w:hAnsi="Times New Roman" w:cs="Times New Roman"/>
          <w:color w:val="222222"/>
          <w:sz w:val="24"/>
          <w:szCs w:val="24"/>
          <w:highlight w:val="white"/>
        </w:rPr>
      </w:pPr>
    </w:p>
    <w:p w14:paraId="0CBC3009" w14:textId="77777777" w:rsidR="00170E20" w:rsidRPr="00310524" w:rsidRDefault="005D4F94" w:rsidP="001E00EB">
      <w:pPr>
        <w:pStyle w:val="Heading3"/>
        <w:ind w:firstLine="720"/>
        <w:rPr>
          <w:rFonts w:ascii="Times New Roman" w:hAnsi="Times New Roman" w:cs="Times New Roman"/>
          <w:i/>
          <w:highlight w:val="white"/>
        </w:rPr>
      </w:pPr>
      <w:r w:rsidRPr="00310524">
        <w:rPr>
          <w:rFonts w:ascii="Times New Roman" w:hAnsi="Times New Roman" w:cs="Times New Roman"/>
          <w:i/>
          <w:highlight w:val="white"/>
        </w:rPr>
        <w:t>Erosion Reduction</w:t>
      </w:r>
    </w:p>
    <w:p w14:paraId="2A8B7E65"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Pyrethroids are highly hydrophobic, resulting in very low solubility in water and strong binding to organic compounds. This being said, when controlling the transportation of pyrethroids from agricultural applications to critical tidewater goby habitat, like Ormond Lagoon, limiting soil erosion and </w:t>
      </w:r>
      <w:proofErr w:type="gramStart"/>
      <w:r w:rsidRPr="00310524">
        <w:rPr>
          <w:rFonts w:ascii="Times New Roman" w:eastAsia="Times New Roman" w:hAnsi="Times New Roman" w:cs="Times New Roman"/>
          <w:color w:val="222222"/>
          <w:sz w:val="24"/>
          <w:szCs w:val="24"/>
          <w:highlight w:val="white"/>
        </w:rPr>
        <w:t>transportation  is</w:t>
      </w:r>
      <w:proofErr w:type="gramEnd"/>
      <w:r w:rsidRPr="00310524">
        <w:rPr>
          <w:rFonts w:ascii="Times New Roman" w:eastAsia="Times New Roman" w:hAnsi="Times New Roman" w:cs="Times New Roman"/>
          <w:color w:val="222222"/>
          <w:sz w:val="24"/>
          <w:szCs w:val="24"/>
          <w:highlight w:val="white"/>
        </w:rPr>
        <w:t xml:space="preserve"> necessary. Conservation agriculture (CA</w:t>
      </w:r>
      <w:proofErr w:type="gramStart"/>
      <w:r w:rsidRPr="00310524">
        <w:rPr>
          <w:rFonts w:ascii="Times New Roman" w:eastAsia="Times New Roman" w:hAnsi="Times New Roman" w:cs="Times New Roman"/>
          <w:color w:val="222222"/>
          <w:sz w:val="24"/>
          <w:szCs w:val="24"/>
          <w:highlight w:val="white"/>
        </w:rPr>
        <w:t>) ,</w:t>
      </w:r>
      <w:proofErr w:type="gramEnd"/>
      <w:r w:rsidRPr="00310524">
        <w:rPr>
          <w:rFonts w:ascii="Times New Roman" w:eastAsia="Times New Roman" w:hAnsi="Times New Roman" w:cs="Times New Roman"/>
          <w:color w:val="222222"/>
          <w:sz w:val="24"/>
          <w:szCs w:val="24"/>
          <w:highlight w:val="white"/>
        </w:rPr>
        <w:t xml:space="preserve"> “a set of  </w:t>
      </w:r>
      <w:proofErr w:type="spellStart"/>
      <w:r w:rsidRPr="00310524">
        <w:rPr>
          <w:rFonts w:ascii="Times New Roman" w:eastAsia="Times New Roman" w:hAnsi="Times New Roman" w:cs="Times New Roman"/>
          <w:color w:val="222222"/>
          <w:sz w:val="24"/>
          <w:szCs w:val="24"/>
          <w:highlight w:val="white"/>
        </w:rPr>
        <w:t>of</w:t>
      </w:r>
      <w:proofErr w:type="spellEnd"/>
      <w:r w:rsidRPr="00310524">
        <w:rPr>
          <w:rFonts w:ascii="Times New Roman" w:eastAsia="Times New Roman" w:hAnsi="Times New Roman" w:cs="Times New Roman"/>
          <w:color w:val="222222"/>
          <w:sz w:val="24"/>
          <w:szCs w:val="24"/>
          <w:highlight w:val="white"/>
        </w:rPr>
        <w:t xml:space="preserve"> soil management practices that minimize the disruption of the soil's structure, composition and natural biodiversity. CA has proven potential to improve crop yields, while improving the long-term environmental and financial sustainability of farming” (Cornell University, 2015).</w:t>
      </w:r>
    </w:p>
    <w:p w14:paraId="447CBA37" w14:textId="77777777" w:rsidR="00170E20" w:rsidRPr="00310524" w:rsidRDefault="00170E20">
      <w:pPr>
        <w:rPr>
          <w:rFonts w:ascii="Times New Roman" w:eastAsia="Times New Roman" w:hAnsi="Times New Roman" w:cs="Times New Roman"/>
          <w:color w:val="222222"/>
          <w:sz w:val="24"/>
          <w:szCs w:val="24"/>
          <w:highlight w:val="white"/>
        </w:rPr>
      </w:pPr>
    </w:p>
    <w:p w14:paraId="00009B70"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There are three main pillars included in CA: Permanent cover, crop rotation, and minimum soil disturbance. Although these practices serve to benefit many aspects of soil quality, effects related to soil erosion reduction are highlighted below. </w:t>
      </w:r>
    </w:p>
    <w:p w14:paraId="3257C7CB" w14:textId="77777777" w:rsidR="00170E20" w:rsidRPr="00310524" w:rsidRDefault="00170E20">
      <w:pPr>
        <w:rPr>
          <w:rFonts w:ascii="Times New Roman" w:eastAsia="Times New Roman" w:hAnsi="Times New Roman" w:cs="Times New Roman"/>
          <w:color w:val="222222"/>
          <w:sz w:val="24"/>
          <w:szCs w:val="24"/>
          <w:highlight w:val="white"/>
        </w:rPr>
      </w:pPr>
    </w:p>
    <w:p w14:paraId="0FB47C37" w14:textId="77777777" w:rsidR="007214BD" w:rsidRPr="007214BD" w:rsidRDefault="005D4F94" w:rsidP="007214BD">
      <w:pPr>
        <w:pStyle w:val="Heading3"/>
        <w:ind w:firstLine="720"/>
        <w:rPr>
          <w:rFonts w:ascii="Times New Roman" w:hAnsi="Times New Roman" w:cs="Times New Roman"/>
          <w:i/>
          <w:highlight w:val="white"/>
        </w:rPr>
      </w:pPr>
      <w:r w:rsidRPr="007214BD">
        <w:rPr>
          <w:rFonts w:ascii="Times New Roman" w:hAnsi="Times New Roman" w:cs="Times New Roman"/>
          <w:i/>
          <w:highlight w:val="white"/>
        </w:rPr>
        <w:t>Cover Crops</w:t>
      </w:r>
    </w:p>
    <w:p w14:paraId="6C9881C0" w14:textId="0B457BA0"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Maintaining a physical barrier above the topsoil surface is imperative to limiting erosion. Erosion of the soil via rain occurs initially on a minute level. Splash erosion is </w:t>
      </w:r>
      <w:proofErr w:type="gramStart"/>
      <w:r w:rsidRPr="00310524">
        <w:rPr>
          <w:rFonts w:ascii="Times New Roman" w:eastAsia="Times New Roman" w:hAnsi="Times New Roman" w:cs="Times New Roman"/>
          <w:color w:val="222222"/>
          <w:sz w:val="24"/>
          <w:szCs w:val="24"/>
          <w:highlight w:val="white"/>
        </w:rPr>
        <w:t>occurs</w:t>
      </w:r>
      <w:proofErr w:type="gramEnd"/>
      <w:r w:rsidRPr="00310524">
        <w:rPr>
          <w:rFonts w:ascii="Times New Roman" w:eastAsia="Times New Roman" w:hAnsi="Times New Roman" w:cs="Times New Roman"/>
          <w:color w:val="222222"/>
          <w:sz w:val="24"/>
          <w:szCs w:val="24"/>
          <w:highlight w:val="white"/>
        </w:rPr>
        <w:t xml:space="preserve"> when rain drops hit the soil surface, at speeds up to 20 miles per hour, throwing soil particles up to 5 feet horizontally and 2 feet vertically (Furbish, 2007). Smaller and lighter grains, such as fine clay particles necessary for nutrient sorption, are the first to be splashes and washed off site. Although this process has seemingly small effects, when distributed over a larger area the force of splash erosion is considerable. In addition to the direct force of the falling rain, is the surface flow or sheet wash effect. As water runs across a landscape, particularly on sloped parcels, fine soil particles are removed for the area. The combined effect of </w:t>
      </w:r>
      <w:proofErr w:type="spellStart"/>
      <w:r w:rsidRPr="00310524">
        <w:rPr>
          <w:rFonts w:ascii="Times New Roman" w:eastAsia="Times New Roman" w:hAnsi="Times New Roman" w:cs="Times New Roman"/>
          <w:color w:val="222222"/>
          <w:sz w:val="24"/>
          <w:szCs w:val="24"/>
          <w:highlight w:val="white"/>
        </w:rPr>
        <w:t>rainsplash</w:t>
      </w:r>
      <w:proofErr w:type="spellEnd"/>
      <w:r w:rsidRPr="00310524">
        <w:rPr>
          <w:rFonts w:ascii="Times New Roman" w:eastAsia="Times New Roman" w:hAnsi="Times New Roman" w:cs="Times New Roman"/>
          <w:color w:val="222222"/>
          <w:sz w:val="24"/>
          <w:szCs w:val="24"/>
          <w:highlight w:val="white"/>
        </w:rPr>
        <w:t xml:space="preserve"> and </w:t>
      </w:r>
      <w:proofErr w:type="spellStart"/>
      <w:r w:rsidRPr="00310524">
        <w:rPr>
          <w:rFonts w:ascii="Times New Roman" w:eastAsia="Times New Roman" w:hAnsi="Times New Roman" w:cs="Times New Roman"/>
          <w:color w:val="222222"/>
          <w:sz w:val="24"/>
          <w:szCs w:val="24"/>
          <w:highlight w:val="white"/>
        </w:rPr>
        <w:t>sheetwash</w:t>
      </w:r>
      <w:proofErr w:type="spellEnd"/>
      <w:r w:rsidRPr="00310524">
        <w:rPr>
          <w:rFonts w:ascii="Times New Roman" w:eastAsia="Times New Roman" w:hAnsi="Times New Roman" w:cs="Times New Roman"/>
          <w:color w:val="222222"/>
          <w:sz w:val="24"/>
          <w:szCs w:val="24"/>
          <w:highlight w:val="white"/>
        </w:rPr>
        <w:t xml:space="preserve"> erosion comprise 70% of down-slope erosion.</w:t>
      </w:r>
      <w:r w:rsidR="007214BD">
        <w:rPr>
          <w:rFonts w:ascii="Times New Roman" w:eastAsia="Times New Roman" w:hAnsi="Times New Roman" w:cs="Times New Roman"/>
          <w:color w:val="222222"/>
          <w:sz w:val="24"/>
          <w:szCs w:val="24"/>
          <w:highlight w:val="white"/>
        </w:rPr>
        <w:t xml:space="preserve"> </w:t>
      </w:r>
      <w:r w:rsidRPr="00310524">
        <w:rPr>
          <w:rFonts w:ascii="Times New Roman" w:eastAsia="Times New Roman" w:hAnsi="Times New Roman" w:cs="Times New Roman"/>
          <w:color w:val="222222"/>
          <w:sz w:val="24"/>
          <w:szCs w:val="24"/>
          <w:highlight w:val="white"/>
        </w:rPr>
        <w:t xml:space="preserve">The presence of a cover crop, with leaves deflecting the direct impact of rain and roots maintaining the integrity of the soil structure, can ensure the stability of the soil. Additionally, the presence of cover crops controls the growth of weeds, adds organic carbon to the soil, and increases soil porosity among many things. The choice of cover crop will depend on climate and soil needs, but is generally not a commercially viable crop. However, cover crops such as legumes offer increased nitrogen levels for the following crop harvest, improving yields. </w:t>
      </w:r>
    </w:p>
    <w:p w14:paraId="31B6838F" w14:textId="77777777" w:rsidR="00170E20" w:rsidRPr="00310524" w:rsidRDefault="00170E20">
      <w:pPr>
        <w:rPr>
          <w:rFonts w:ascii="Times New Roman" w:eastAsia="Times New Roman" w:hAnsi="Times New Roman" w:cs="Times New Roman"/>
          <w:color w:val="222222"/>
          <w:sz w:val="24"/>
          <w:szCs w:val="24"/>
          <w:highlight w:val="white"/>
        </w:rPr>
      </w:pPr>
    </w:p>
    <w:p w14:paraId="41E1D280" w14:textId="77777777" w:rsidR="00170E20" w:rsidRPr="00310524" w:rsidRDefault="005D4F94" w:rsidP="001E00EB">
      <w:pPr>
        <w:pStyle w:val="Heading3"/>
        <w:ind w:firstLine="720"/>
        <w:rPr>
          <w:rFonts w:ascii="Times New Roman" w:hAnsi="Times New Roman" w:cs="Times New Roman"/>
          <w:i/>
          <w:highlight w:val="white"/>
        </w:rPr>
      </w:pPr>
      <w:r w:rsidRPr="00310524">
        <w:rPr>
          <w:rFonts w:ascii="Times New Roman" w:hAnsi="Times New Roman" w:cs="Times New Roman"/>
          <w:i/>
          <w:highlight w:val="white"/>
        </w:rPr>
        <w:t>Crop Rotation</w:t>
      </w:r>
    </w:p>
    <w:p w14:paraId="0F555244" w14:textId="1D41A2FF"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Monoculture farming, the practice of growing a single variety of crop repeatedly on a given </w:t>
      </w:r>
      <w:r w:rsidRPr="00310524">
        <w:rPr>
          <w:rFonts w:ascii="Times New Roman" w:eastAsia="Times New Roman" w:hAnsi="Times New Roman" w:cs="Times New Roman"/>
          <w:color w:val="222222"/>
          <w:sz w:val="24"/>
          <w:szCs w:val="24"/>
          <w:highlight w:val="white"/>
        </w:rPr>
        <w:lastRenderedPageBreak/>
        <w:t>parcel, has significant negative effects on the soil chemistry. Both the physical reach and chemical demand varies from crop to crop. For example, overtime nutrients may leach down through the soil out of reach of the shallow root structures of corn. The deep roots of lima beans or squash can pump nutrients previously out of reach back within the range accessible by the corn. This rotatio</w:t>
      </w:r>
      <w:r w:rsidR="001E00EB" w:rsidRPr="00310524">
        <w:rPr>
          <w:rFonts w:ascii="Times New Roman" w:eastAsia="Times New Roman" w:hAnsi="Times New Roman" w:cs="Times New Roman"/>
          <w:color w:val="222222"/>
          <w:sz w:val="24"/>
          <w:szCs w:val="24"/>
          <w:highlight w:val="white"/>
        </w:rPr>
        <w:t xml:space="preserve">n of crop can cycle nutrients, </w:t>
      </w:r>
      <w:r w:rsidRPr="00310524">
        <w:rPr>
          <w:rFonts w:ascii="Times New Roman" w:eastAsia="Times New Roman" w:hAnsi="Times New Roman" w:cs="Times New Roman"/>
          <w:color w:val="222222"/>
          <w:sz w:val="24"/>
          <w:szCs w:val="24"/>
          <w:highlight w:val="white"/>
        </w:rPr>
        <w:t xml:space="preserve">improving the growth of both cover crops and commercial crops. Crop rotations can include a mix cash crops to be sold in a market and cover crops that can be sued to protect the soil and increase soil fertility.  A </w:t>
      </w:r>
      <w:r w:rsidR="007214BD" w:rsidRPr="00310524">
        <w:rPr>
          <w:rFonts w:ascii="Times New Roman" w:eastAsia="Times New Roman" w:hAnsi="Times New Roman" w:cs="Times New Roman"/>
          <w:color w:val="222222"/>
          <w:sz w:val="24"/>
          <w:szCs w:val="24"/>
          <w:highlight w:val="white"/>
        </w:rPr>
        <w:t>heterogeneous</w:t>
      </w:r>
      <w:r w:rsidR="001E00EB" w:rsidRPr="00310524">
        <w:rPr>
          <w:rFonts w:ascii="Times New Roman" w:eastAsia="Times New Roman" w:hAnsi="Times New Roman" w:cs="Times New Roman"/>
          <w:color w:val="222222"/>
          <w:sz w:val="24"/>
          <w:szCs w:val="24"/>
          <w:highlight w:val="white"/>
        </w:rPr>
        <w:t xml:space="preserve"> mix of crops ensure a well-</w:t>
      </w:r>
      <w:r w:rsidRPr="00310524">
        <w:rPr>
          <w:rFonts w:ascii="Times New Roman" w:eastAsia="Times New Roman" w:hAnsi="Times New Roman" w:cs="Times New Roman"/>
          <w:color w:val="222222"/>
          <w:sz w:val="24"/>
          <w:szCs w:val="24"/>
          <w:highlight w:val="white"/>
        </w:rPr>
        <w:t>mixed and stable soil structure that is less likely to er</w:t>
      </w:r>
      <w:r w:rsidR="007214BD">
        <w:rPr>
          <w:rFonts w:ascii="Times New Roman" w:eastAsia="Times New Roman" w:hAnsi="Times New Roman" w:cs="Times New Roman"/>
          <w:color w:val="222222"/>
          <w:sz w:val="24"/>
          <w:szCs w:val="24"/>
          <w:highlight w:val="white"/>
        </w:rPr>
        <w:t>ode.</w:t>
      </w:r>
      <w:r w:rsidRPr="00310524">
        <w:rPr>
          <w:rFonts w:ascii="Times New Roman" w:eastAsia="Times New Roman" w:hAnsi="Times New Roman" w:cs="Times New Roman"/>
          <w:color w:val="222222"/>
          <w:sz w:val="24"/>
          <w:szCs w:val="24"/>
          <w:highlight w:val="white"/>
        </w:rPr>
        <w:t xml:space="preserve"> (Food and Agriculture Organization of the United Nations, 2015)</w:t>
      </w:r>
      <w:r w:rsidR="007214BD">
        <w:rPr>
          <w:rFonts w:ascii="Times New Roman" w:eastAsia="Times New Roman" w:hAnsi="Times New Roman" w:cs="Times New Roman"/>
          <w:color w:val="222222"/>
          <w:sz w:val="24"/>
          <w:szCs w:val="24"/>
          <w:highlight w:val="white"/>
        </w:rPr>
        <w:t>.</w:t>
      </w:r>
    </w:p>
    <w:p w14:paraId="5741C568" w14:textId="77777777" w:rsidR="00170E20" w:rsidRPr="00310524" w:rsidRDefault="00170E20">
      <w:pPr>
        <w:rPr>
          <w:rFonts w:ascii="Times New Roman" w:eastAsia="Times New Roman" w:hAnsi="Times New Roman" w:cs="Times New Roman"/>
          <w:color w:val="222222"/>
          <w:sz w:val="24"/>
          <w:szCs w:val="24"/>
          <w:highlight w:val="white"/>
        </w:rPr>
      </w:pPr>
    </w:p>
    <w:p w14:paraId="113F044C" w14:textId="77777777" w:rsidR="00170E20" w:rsidRPr="00310524" w:rsidRDefault="005D4F94" w:rsidP="001E00EB">
      <w:pPr>
        <w:pStyle w:val="Heading3"/>
        <w:ind w:firstLine="720"/>
        <w:rPr>
          <w:rFonts w:ascii="Times New Roman" w:hAnsi="Times New Roman" w:cs="Times New Roman"/>
          <w:i/>
          <w:highlight w:val="white"/>
        </w:rPr>
      </w:pPr>
      <w:r w:rsidRPr="00310524">
        <w:rPr>
          <w:rFonts w:ascii="Times New Roman" w:hAnsi="Times New Roman" w:cs="Times New Roman"/>
          <w:i/>
          <w:highlight w:val="white"/>
        </w:rPr>
        <w:t>Tilling</w:t>
      </w:r>
    </w:p>
    <w:p w14:paraId="39947F19"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Although the tilling of soil can improve the availability of soil nutrients and aeration in the immediate short term, structural degradation, loss of organic carbon, and soil compaction occur thereafter. Not only is the process of tilling soil costly in terms of time and energy requirements, but it also degrades the soil structure, requiring additional processes of fertilization and aeration.</w:t>
      </w:r>
    </w:p>
    <w:p w14:paraId="10DCB15C" w14:textId="54F700CE"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The Agriculture and Consumer Protection Department of the United Nations states, “Soil tillage is among all farming operations the single most energy consuming and thus, in mechanized agriculture, air-polluting, operation. By not tilling the soil, farmers can save between 30 and 40% of time</w:t>
      </w:r>
      <w:r w:rsidR="007214BD">
        <w:rPr>
          <w:rFonts w:ascii="Times New Roman" w:eastAsia="Times New Roman" w:hAnsi="Times New Roman" w:cs="Times New Roman"/>
          <w:color w:val="222222"/>
          <w:sz w:val="24"/>
          <w:szCs w:val="24"/>
          <w:highlight w:val="white"/>
        </w:rPr>
        <w:t>, labo</w:t>
      </w:r>
      <w:r w:rsidRPr="00310524">
        <w:rPr>
          <w:rFonts w:ascii="Times New Roman" w:eastAsia="Times New Roman" w:hAnsi="Times New Roman" w:cs="Times New Roman"/>
          <w:color w:val="222222"/>
          <w:sz w:val="24"/>
          <w:szCs w:val="24"/>
          <w:highlight w:val="white"/>
        </w:rPr>
        <w:t xml:space="preserve">r and, in mechanized agriculture, fossil fuels as compared to conventional cropping.”  Mechanized tilling violently churns the soil, which breaks roots, kills species important to soil health like worm and fungi, and alters the soil structure necessary for microbial nitrogen fixation (Food and Agriculture Organization of the United Nations, 2015). No-till farming can be accomplished successfully when the soil ecosystem is healthy, allowing the </w:t>
      </w:r>
      <w:proofErr w:type="spellStart"/>
      <w:r w:rsidRPr="00310524">
        <w:rPr>
          <w:rFonts w:ascii="Times New Roman" w:eastAsia="Times New Roman" w:hAnsi="Times New Roman" w:cs="Times New Roman"/>
          <w:color w:val="222222"/>
          <w:sz w:val="24"/>
          <w:szCs w:val="24"/>
          <w:highlight w:val="white"/>
        </w:rPr>
        <w:t>edaphon</w:t>
      </w:r>
      <w:proofErr w:type="spellEnd"/>
      <w:r w:rsidRPr="00310524">
        <w:rPr>
          <w:rFonts w:ascii="Times New Roman" w:eastAsia="Times New Roman" w:hAnsi="Times New Roman" w:cs="Times New Roman"/>
          <w:color w:val="222222"/>
          <w:sz w:val="24"/>
          <w:szCs w:val="24"/>
          <w:highlight w:val="white"/>
        </w:rPr>
        <w:t xml:space="preserve"> to aerate the soil naturally. </w:t>
      </w:r>
    </w:p>
    <w:p w14:paraId="7D8CD0A3" w14:textId="77777777" w:rsidR="00170E20" w:rsidRPr="00310524" w:rsidRDefault="005D4F94" w:rsidP="001E00EB">
      <w:pPr>
        <w:pStyle w:val="Heading1"/>
        <w:numPr>
          <w:ilvl w:val="0"/>
          <w:numId w:val="7"/>
        </w:numPr>
        <w:rPr>
          <w:rFonts w:ascii="Times New Roman" w:hAnsi="Times New Roman" w:cs="Times New Roman"/>
          <w:highlight w:val="white"/>
        </w:rPr>
      </w:pPr>
      <w:bookmarkStart w:id="11" w:name="_17dp8vu" w:colFirst="0" w:colLast="0"/>
      <w:bookmarkEnd w:id="11"/>
      <w:r w:rsidRPr="00310524">
        <w:rPr>
          <w:rFonts w:ascii="Times New Roman" w:hAnsi="Times New Roman" w:cs="Times New Roman"/>
          <w:highlight w:val="white"/>
        </w:rPr>
        <w:t xml:space="preserve">Data Management Plan </w:t>
      </w:r>
    </w:p>
    <w:p w14:paraId="1E2D0297" w14:textId="77777777" w:rsidR="00170E20" w:rsidRPr="00310524" w:rsidRDefault="00170E20">
      <w:pPr>
        <w:rPr>
          <w:rFonts w:ascii="Times New Roman" w:eastAsia="Times New Roman" w:hAnsi="Times New Roman" w:cs="Times New Roman"/>
          <w:b/>
          <w:color w:val="222222"/>
          <w:sz w:val="24"/>
          <w:szCs w:val="24"/>
          <w:highlight w:val="white"/>
        </w:rPr>
      </w:pPr>
    </w:p>
    <w:p w14:paraId="3FC91A9F" w14:textId="77777777" w:rsidR="00170E20" w:rsidRPr="00310524" w:rsidRDefault="005D4F94" w:rsidP="00081FCD">
      <w:pPr>
        <w:pStyle w:val="Heading2"/>
        <w:rPr>
          <w:rFonts w:ascii="Times New Roman" w:hAnsi="Times New Roman" w:cs="Times New Roman"/>
          <w:highlight w:val="white"/>
        </w:rPr>
      </w:pPr>
      <w:bookmarkStart w:id="12" w:name="_3rdcrjn" w:colFirst="0" w:colLast="0"/>
      <w:bookmarkEnd w:id="12"/>
      <w:r w:rsidRPr="00310524">
        <w:rPr>
          <w:rFonts w:ascii="Times New Roman" w:hAnsi="Times New Roman" w:cs="Times New Roman"/>
          <w:highlight w:val="white"/>
        </w:rPr>
        <w:t>Describing the Research Data</w:t>
      </w:r>
    </w:p>
    <w:p w14:paraId="210F0F58"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There are several sources the Goby Team has collected data from or plans on gathering data from. Each section below gives a brief summary of each data resource, how to retrieve data, and the data format. </w:t>
      </w:r>
    </w:p>
    <w:p w14:paraId="59CC64AE" w14:textId="77777777" w:rsidR="00170E20" w:rsidRPr="00310524" w:rsidRDefault="00170E20">
      <w:pPr>
        <w:rPr>
          <w:rFonts w:ascii="Times New Roman" w:eastAsia="Times New Roman" w:hAnsi="Times New Roman" w:cs="Times New Roman"/>
          <w:color w:val="222222"/>
          <w:sz w:val="24"/>
          <w:szCs w:val="24"/>
          <w:highlight w:val="white"/>
        </w:rPr>
      </w:pPr>
    </w:p>
    <w:p w14:paraId="113F4C84" w14:textId="77777777" w:rsidR="00170E20" w:rsidRPr="00310524" w:rsidRDefault="005D4F94">
      <w:pPr>
        <w:pStyle w:val="Heading3"/>
        <w:ind w:firstLine="720"/>
        <w:rPr>
          <w:rFonts w:ascii="Times New Roman" w:eastAsia="Times New Roman" w:hAnsi="Times New Roman" w:cs="Times New Roman"/>
          <w:i/>
          <w:highlight w:val="white"/>
        </w:rPr>
      </w:pPr>
      <w:r w:rsidRPr="00310524">
        <w:rPr>
          <w:rFonts w:ascii="Times New Roman" w:eastAsia="Times New Roman" w:hAnsi="Times New Roman" w:cs="Times New Roman"/>
          <w:i/>
          <w:highlight w:val="white"/>
        </w:rPr>
        <w:t xml:space="preserve">Surface Water Ambient Monitoring Program </w:t>
      </w:r>
    </w:p>
    <w:p w14:paraId="44672D9C"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Ambient water quality data are collected through California’s State Water Resources Control Board’s Surface Water Ambient Monitoring Program (SWAMP). This data </w:t>
      </w:r>
      <w:proofErr w:type="gramStart"/>
      <w:r w:rsidRPr="00310524">
        <w:rPr>
          <w:rFonts w:ascii="Times New Roman" w:eastAsia="Times New Roman" w:hAnsi="Times New Roman" w:cs="Times New Roman"/>
          <w:color w:val="222222"/>
          <w:sz w:val="24"/>
          <w:szCs w:val="24"/>
          <w:highlight w:val="white"/>
        </w:rPr>
        <w:t>are</w:t>
      </w:r>
      <w:proofErr w:type="gramEnd"/>
      <w:r w:rsidRPr="00310524">
        <w:rPr>
          <w:rFonts w:ascii="Times New Roman" w:eastAsia="Times New Roman" w:hAnsi="Times New Roman" w:cs="Times New Roman"/>
          <w:color w:val="222222"/>
          <w:sz w:val="24"/>
          <w:szCs w:val="24"/>
          <w:highlight w:val="white"/>
        </w:rPr>
        <w:t xml:space="preserve"> available in excel format through the California Environmental Data Exchange Network (CEDEN). Use the “Select Programs”, “Select Parameters”, and “Select Counties” to download data of interest for the Goby Team. </w:t>
      </w:r>
    </w:p>
    <w:p w14:paraId="454D825A"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7C248116" w14:textId="77777777" w:rsidR="00226E1E" w:rsidRDefault="00226E1E">
      <w:pPr>
        <w:ind w:firstLine="720"/>
        <w:rPr>
          <w:rFonts w:ascii="Times New Roman" w:eastAsia="Times New Roman" w:hAnsi="Times New Roman" w:cs="Times New Roman"/>
          <w:i/>
          <w:color w:val="1E4D78"/>
          <w:sz w:val="24"/>
          <w:szCs w:val="24"/>
          <w:highlight w:val="white"/>
        </w:rPr>
      </w:pPr>
    </w:p>
    <w:p w14:paraId="498E97E1" w14:textId="77777777" w:rsidR="00170E20" w:rsidRPr="00310524" w:rsidRDefault="005D4F94">
      <w:pPr>
        <w:ind w:firstLine="720"/>
        <w:rPr>
          <w:rFonts w:ascii="Times New Roman" w:eastAsia="Times New Roman" w:hAnsi="Times New Roman" w:cs="Times New Roman"/>
          <w:i/>
          <w:color w:val="1E4D78"/>
          <w:sz w:val="24"/>
          <w:szCs w:val="24"/>
          <w:highlight w:val="white"/>
        </w:rPr>
      </w:pPr>
      <w:r w:rsidRPr="00310524">
        <w:rPr>
          <w:rFonts w:ascii="Times New Roman" w:eastAsia="Times New Roman" w:hAnsi="Times New Roman" w:cs="Times New Roman"/>
          <w:i/>
          <w:color w:val="1E4D78"/>
          <w:sz w:val="24"/>
          <w:szCs w:val="24"/>
          <w:highlight w:val="white"/>
        </w:rPr>
        <w:lastRenderedPageBreak/>
        <w:t xml:space="preserve">Ventura County Stormwater Permit </w:t>
      </w:r>
    </w:p>
    <w:p w14:paraId="7E655CC4"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Ventura County Stormwater Permit data provide data on sites in Ventura County. A pyrethroid insecticides study was conducted in 2012 to establish a baseline data of pyrethroids for major watersheds in Ventura County, evaluate whether pyrethroid insecticide concentrations are at or approaching levels to be toxic to sediment-dwelling aquatic organisms, determine if pyrethroids discovered are from urban sources, and assess any trends over the Ventura County Municipal Separate Storm Sewer System National Pollutant Discharge Elimination System Permit. This data was converted from PDF document to excel to make it more accessible.</w:t>
      </w:r>
    </w:p>
    <w:p w14:paraId="11A4B6BA"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7702CA38" w14:textId="77777777" w:rsidR="00170E20" w:rsidRPr="00310524" w:rsidRDefault="005D4F94">
      <w:pPr>
        <w:ind w:firstLine="720"/>
        <w:rPr>
          <w:rFonts w:ascii="Times New Roman" w:eastAsia="Times New Roman" w:hAnsi="Times New Roman" w:cs="Times New Roman"/>
          <w:i/>
          <w:color w:val="1E4D78"/>
          <w:sz w:val="24"/>
          <w:szCs w:val="24"/>
          <w:highlight w:val="white"/>
        </w:rPr>
      </w:pPr>
      <w:r w:rsidRPr="00310524">
        <w:rPr>
          <w:rFonts w:ascii="Times New Roman" w:eastAsia="Times New Roman" w:hAnsi="Times New Roman" w:cs="Times New Roman"/>
          <w:i/>
          <w:color w:val="1E4D78"/>
          <w:sz w:val="24"/>
          <w:szCs w:val="24"/>
          <w:highlight w:val="white"/>
        </w:rPr>
        <w:t>California Department of Pesticide Regulation</w:t>
      </w:r>
    </w:p>
    <w:p w14:paraId="4114BF94"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California Department of Pesticide Regulation (CDPR) provides pesticide application data from their Pesticide Use Reporting (PUR) program. These data are available in a wide variety of temporal and spatial scales. </w:t>
      </w:r>
    </w:p>
    <w:p w14:paraId="540666B5"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149F14B5" w14:textId="77777777" w:rsidR="00170E20" w:rsidRPr="00310524" w:rsidRDefault="005D4F94">
      <w:pPr>
        <w:ind w:firstLine="720"/>
        <w:rPr>
          <w:rFonts w:ascii="Times New Roman" w:eastAsia="Times New Roman" w:hAnsi="Times New Roman" w:cs="Times New Roman"/>
          <w:i/>
          <w:color w:val="222222"/>
          <w:sz w:val="24"/>
          <w:szCs w:val="24"/>
          <w:highlight w:val="white"/>
        </w:rPr>
      </w:pPr>
      <w:r w:rsidRPr="00310524">
        <w:rPr>
          <w:rFonts w:ascii="Times New Roman" w:eastAsia="Times New Roman" w:hAnsi="Times New Roman" w:cs="Times New Roman"/>
          <w:i/>
          <w:color w:val="1E4D78"/>
          <w:sz w:val="24"/>
          <w:szCs w:val="24"/>
          <w:highlight w:val="white"/>
        </w:rPr>
        <w:t xml:space="preserve">Central Coast Ambient Monitoring Program </w:t>
      </w:r>
    </w:p>
    <w:p w14:paraId="35EA2D42"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Central Coast Ambient Monitoring Program (CCAMP) data are available for download through the CCAMP website. Water quality, toxicity, metal concentration, organics, and nutrient concentrations can be found through CCAMP. Additionally, CCAMP can be a useful source for sampling methods, design, and analysis information for field work the Goby Team plans on conducting. Data are available in various forms on their website, but can also be retrieved from a contact at CCAMP in a more useful format, such as excel. </w:t>
      </w:r>
    </w:p>
    <w:p w14:paraId="73D71E15" w14:textId="77777777" w:rsidR="00170E20" w:rsidRPr="00310524" w:rsidRDefault="00170E20">
      <w:pPr>
        <w:rPr>
          <w:rFonts w:ascii="Times New Roman" w:eastAsia="Times New Roman" w:hAnsi="Times New Roman" w:cs="Times New Roman"/>
          <w:i/>
          <w:color w:val="1E4D78"/>
          <w:sz w:val="24"/>
          <w:szCs w:val="24"/>
          <w:highlight w:val="white"/>
        </w:rPr>
      </w:pPr>
    </w:p>
    <w:p w14:paraId="1EA9F50E" w14:textId="7260CA1C" w:rsidR="00170E20" w:rsidRPr="00310524" w:rsidRDefault="005D4F94">
      <w:pPr>
        <w:ind w:firstLine="720"/>
        <w:rPr>
          <w:rFonts w:ascii="Times New Roman" w:eastAsia="Times New Roman" w:hAnsi="Times New Roman" w:cs="Times New Roman"/>
          <w:i/>
          <w:color w:val="1E4D78"/>
          <w:sz w:val="24"/>
          <w:szCs w:val="24"/>
          <w:highlight w:val="white"/>
        </w:rPr>
      </w:pPr>
      <w:r w:rsidRPr="00310524">
        <w:rPr>
          <w:rFonts w:ascii="Times New Roman" w:eastAsia="Times New Roman" w:hAnsi="Times New Roman" w:cs="Times New Roman"/>
          <w:i/>
          <w:color w:val="1E4D78"/>
          <w:sz w:val="24"/>
          <w:szCs w:val="24"/>
          <w:highlight w:val="white"/>
        </w:rPr>
        <w:t xml:space="preserve">EPA </w:t>
      </w:r>
      <w:r w:rsidR="00CC7CDA" w:rsidRPr="00310524">
        <w:rPr>
          <w:rFonts w:ascii="Times New Roman" w:eastAsia="Times New Roman" w:hAnsi="Times New Roman" w:cs="Times New Roman"/>
          <w:i/>
          <w:color w:val="1E4D78"/>
          <w:sz w:val="24"/>
          <w:szCs w:val="24"/>
          <w:highlight w:val="white"/>
        </w:rPr>
        <w:t>EXPRESS Model</w:t>
      </w:r>
      <w:r w:rsidRPr="00310524">
        <w:rPr>
          <w:rFonts w:ascii="Times New Roman" w:eastAsia="Times New Roman" w:hAnsi="Times New Roman" w:cs="Times New Roman"/>
          <w:i/>
          <w:color w:val="1E4D78"/>
          <w:sz w:val="24"/>
          <w:szCs w:val="24"/>
          <w:highlight w:val="white"/>
        </w:rPr>
        <w:t xml:space="preserve"> (EXAMS and PRZM)</w:t>
      </w:r>
    </w:p>
    <w:p w14:paraId="792AE370" w14:textId="3A099FA3" w:rsidR="00170E20" w:rsidRPr="00310524" w:rsidRDefault="00CC7CDA">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highlight w:val="white"/>
        </w:rPr>
        <w:t>EXPRESS (EXAMS-PRZM Exposure Simulation Shell) is a two-tiered</w:t>
      </w:r>
      <w:r w:rsidR="001A6A13" w:rsidRPr="00310524">
        <w:rPr>
          <w:rFonts w:ascii="Times New Roman" w:eastAsia="Times New Roman" w:hAnsi="Times New Roman" w:cs="Times New Roman"/>
          <w:color w:val="222222"/>
          <w:sz w:val="24"/>
          <w:szCs w:val="24"/>
          <w:highlight w:val="white"/>
        </w:rPr>
        <w:t xml:space="preserve"> </w:t>
      </w:r>
      <w:r w:rsidR="00F034AF" w:rsidRPr="00310524">
        <w:rPr>
          <w:rFonts w:ascii="Times New Roman" w:eastAsia="Times New Roman" w:hAnsi="Times New Roman" w:cs="Times New Roman"/>
          <w:color w:val="222222"/>
          <w:sz w:val="24"/>
          <w:szCs w:val="24"/>
          <w:highlight w:val="white"/>
        </w:rPr>
        <w:t xml:space="preserve">assessment of aquatic pesticide exposure for different geographic and agronomic settings. It combines the EXAMS and PRZM software. </w:t>
      </w:r>
      <w:r w:rsidR="005D4F94" w:rsidRPr="00310524">
        <w:rPr>
          <w:rFonts w:ascii="Times New Roman" w:eastAsia="Times New Roman" w:hAnsi="Times New Roman" w:cs="Times New Roman"/>
          <w:color w:val="222222"/>
          <w:sz w:val="24"/>
          <w:szCs w:val="24"/>
          <w:highlight w:val="white"/>
        </w:rPr>
        <w:t xml:space="preserve">Exposure Analysis Modeling System (EXAMS) is an interactive computer software for formulating ecosystem models and evaluating the fate, transport, and exposure of synthetic organic chemicals. EXAMS software can be downloaded from EPA’s website. Pesticide Root Zone Model (PRZM) is a one- dimensional, finite-difference models that accounts for pesticide and nitrogen fate in the crop root zone. </w:t>
      </w:r>
    </w:p>
    <w:p w14:paraId="7D643938" w14:textId="77777777" w:rsidR="00170E20" w:rsidRPr="00310524" w:rsidRDefault="00170E20">
      <w:pPr>
        <w:rPr>
          <w:rFonts w:ascii="Times New Roman" w:eastAsia="Times New Roman" w:hAnsi="Times New Roman" w:cs="Times New Roman"/>
          <w:i/>
          <w:color w:val="222222"/>
          <w:sz w:val="24"/>
          <w:szCs w:val="24"/>
          <w:highlight w:val="white"/>
        </w:rPr>
      </w:pPr>
    </w:p>
    <w:p w14:paraId="08F40B2A" w14:textId="77777777" w:rsidR="00170E20" w:rsidRPr="00310524" w:rsidRDefault="005D4F94">
      <w:pPr>
        <w:ind w:firstLine="720"/>
        <w:rPr>
          <w:rFonts w:ascii="Times New Roman" w:eastAsia="Times New Roman" w:hAnsi="Times New Roman" w:cs="Times New Roman"/>
          <w:i/>
          <w:color w:val="1E4D78"/>
          <w:sz w:val="24"/>
          <w:szCs w:val="24"/>
          <w:highlight w:val="white"/>
        </w:rPr>
      </w:pPr>
      <w:r w:rsidRPr="00310524">
        <w:rPr>
          <w:rFonts w:ascii="Times New Roman" w:eastAsia="Times New Roman" w:hAnsi="Times New Roman" w:cs="Times New Roman"/>
          <w:i/>
          <w:color w:val="1E4D78"/>
          <w:sz w:val="24"/>
          <w:szCs w:val="24"/>
          <w:highlight w:val="white"/>
        </w:rPr>
        <w:t xml:space="preserve">Other Data Sources </w:t>
      </w:r>
    </w:p>
    <w:p w14:paraId="155CFA71"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There are other sources of data that are pending funding or the Goby Team is still in the process of finding. One source, pending funding, is goby and pyrethroid testing for LC50 for bifenthrin and other pyrethroids, which would be conducted by the UC Davis Granite Canyon Marine Pollution Laboratory, then shared with the Goby Team. Another source is through a UCLA student studying tidewater goby Metapopulation viability analysis (MVA). The Goby Team will likely collect water, sediment, or invertebrate samples which will be an additional source of data for analysis. </w:t>
      </w:r>
    </w:p>
    <w:p w14:paraId="2B006CA9"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4A555E4B" w14:textId="77777777" w:rsidR="00170E20" w:rsidRPr="00310524" w:rsidRDefault="005D4F94" w:rsidP="00081FCD">
      <w:pPr>
        <w:pStyle w:val="Heading2"/>
        <w:rPr>
          <w:rFonts w:ascii="Times New Roman" w:hAnsi="Times New Roman" w:cs="Times New Roman"/>
          <w:highlight w:val="white"/>
        </w:rPr>
      </w:pPr>
      <w:bookmarkStart w:id="13" w:name="_26in1rg" w:colFirst="0" w:colLast="0"/>
      <w:bookmarkEnd w:id="13"/>
      <w:r w:rsidRPr="00310524">
        <w:rPr>
          <w:rFonts w:ascii="Times New Roman" w:hAnsi="Times New Roman" w:cs="Times New Roman"/>
          <w:highlight w:val="white"/>
        </w:rPr>
        <w:lastRenderedPageBreak/>
        <w:t>Data Standards</w:t>
      </w:r>
    </w:p>
    <w:p w14:paraId="480F475A"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Gathered data will be stored as .pdf or .</w:t>
      </w:r>
      <w:proofErr w:type="spellStart"/>
      <w:r w:rsidRPr="00310524">
        <w:rPr>
          <w:rFonts w:ascii="Times New Roman" w:eastAsia="Times New Roman" w:hAnsi="Times New Roman" w:cs="Times New Roman"/>
          <w:color w:val="222222"/>
          <w:sz w:val="24"/>
          <w:szCs w:val="24"/>
          <w:highlight w:val="white"/>
        </w:rPr>
        <w:t>xls</w:t>
      </w:r>
      <w:proofErr w:type="spellEnd"/>
      <w:r w:rsidRPr="00310524">
        <w:rPr>
          <w:rFonts w:ascii="Times New Roman" w:eastAsia="Times New Roman" w:hAnsi="Times New Roman" w:cs="Times New Roman"/>
          <w:color w:val="222222"/>
          <w:sz w:val="24"/>
          <w:szCs w:val="24"/>
          <w:highlight w:val="white"/>
        </w:rPr>
        <w:t xml:space="preserve"> files in a central folder on Google Drive. A master copy of each data source received will be stored in the format they were received to avoid errors. Michael Patton and Natalie Shahbol will be responsible for ensuring that standards are applied and data are properly organized. </w:t>
      </w:r>
    </w:p>
    <w:p w14:paraId="0D3114F3"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2EFD6C2B" w14:textId="77777777" w:rsidR="00170E20" w:rsidRPr="00310524" w:rsidRDefault="005D4F94" w:rsidP="00081FCD">
      <w:pPr>
        <w:pStyle w:val="Heading2"/>
        <w:rPr>
          <w:rFonts w:ascii="Times New Roman" w:hAnsi="Times New Roman" w:cs="Times New Roman"/>
          <w:highlight w:val="white"/>
        </w:rPr>
      </w:pPr>
      <w:bookmarkStart w:id="14" w:name="_lnxbz9" w:colFirst="0" w:colLast="0"/>
      <w:bookmarkEnd w:id="14"/>
      <w:r w:rsidRPr="00310524">
        <w:rPr>
          <w:rFonts w:ascii="Times New Roman" w:hAnsi="Times New Roman" w:cs="Times New Roman"/>
          <w:highlight w:val="white"/>
        </w:rPr>
        <w:t>Metadata Standards</w:t>
      </w:r>
    </w:p>
    <w:p w14:paraId="4B2B88CF"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Gathered data will be grouped by technology in separate folders in the Drive. Data acquired through contacts will be noted to allow for questions to be easily answered as needed. The Goby Team’s contact information will also be stored so that questions on data can be answered if desired. In addition, variables, units, and any additional notes will be available for easy interpretation of data. </w:t>
      </w:r>
    </w:p>
    <w:p w14:paraId="602C4936"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1E01788E" w14:textId="77777777" w:rsidR="00170E20" w:rsidRPr="00310524" w:rsidRDefault="005D4F94" w:rsidP="00081FCD">
      <w:pPr>
        <w:pStyle w:val="Heading2"/>
        <w:rPr>
          <w:rFonts w:ascii="Times New Roman" w:hAnsi="Times New Roman" w:cs="Times New Roman"/>
          <w:highlight w:val="white"/>
        </w:rPr>
      </w:pPr>
      <w:bookmarkStart w:id="15" w:name="_35nkun2" w:colFirst="0" w:colLast="0"/>
      <w:bookmarkEnd w:id="15"/>
      <w:r w:rsidRPr="00310524">
        <w:rPr>
          <w:rFonts w:ascii="Times New Roman" w:hAnsi="Times New Roman" w:cs="Times New Roman"/>
          <w:highlight w:val="white"/>
        </w:rPr>
        <w:t>Data Sharing and Access</w:t>
      </w:r>
    </w:p>
    <w:p w14:paraId="397AB48E"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Data will be made available to the public unless otherwise requested by the source. ArcMap, Microsoft Office, and </w:t>
      </w:r>
      <w:r w:rsidRPr="00310524">
        <w:rPr>
          <w:rFonts w:ascii="Times New Roman" w:eastAsia="Times New Roman" w:hAnsi="Times New Roman" w:cs="Times New Roman"/>
          <w:color w:val="222222"/>
          <w:sz w:val="24"/>
          <w:szCs w:val="24"/>
        </w:rPr>
        <w:t>other software</w:t>
      </w:r>
      <w:r w:rsidRPr="00310524">
        <w:rPr>
          <w:rFonts w:ascii="Times New Roman" w:eastAsia="Times New Roman" w:hAnsi="Times New Roman" w:cs="Times New Roman"/>
          <w:color w:val="222222"/>
          <w:sz w:val="24"/>
          <w:szCs w:val="24"/>
          <w:highlight w:val="white"/>
        </w:rPr>
        <w:t xml:space="preserve"> used for EPA Modeling data will be required to open some files. </w:t>
      </w:r>
    </w:p>
    <w:p w14:paraId="336D84AD"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0B87B991" w14:textId="77777777" w:rsidR="00170E20" w:rsidRPr="00310524" w:rsidRDefault="005D4F94" w:rsidP="00081FCD">
      <w:pPr>
        <w:pStyle w:val="Heading2"/>
        <w:rPr>
          <w:rFonts w:ascii="Times New Roman" w:hAnsi="Times New Roman" w:cs="Times New Roman"/>
          <w:highlight w:val="white"/>
        </w:rPr>
      </w:pPr>
      <w:bookmarkStart w:id="16" w:name="_1ksv4uv" w:colFirst="0" w:colLast="0"/>
      <w:bookmarkEnd w:id="16"/>
      <w:r w:rsidRPr="00310524">
        <w:rPr>
          <w:rFonts w:ascii="Times New Roman" w:hAnsi="Times New Roman" w:cs="Times New Roman"/>
          <w:highlight w:val="white"/>
        </w:rPr>
        <w:t>Intellectual Property and Reuse</w:t>
      </w:r>
    </w:p>
    <w:p w14:paraId="70E6A58C"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Any data created by the Goby team will be assigned a Creative Commons license to allow for usability and accessibility for the future. When data are acquired from an external source, the Goby Team will inquire about redistribution rights to ensure compliance with the scientific community and the law. </w:t>
      </w:r>
    </w:p>
    <w:p w14:paraId="5B69DCB3"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0744AE26" w14:textId="77777777" w:rsidR="00170E20" w:rsidRPr="00310524" w:rsidRDefault="005D4F94" w:rsidP="00081FCD">
      <w:pPr>
        <w:pStyle w:val="Heading2"/>
        <w:rPr>
          <w:rFonts w:ascii="Times New Roman" w:hAnsi="Times New Roman" w:cs="Times New Roman"/>
          <w:highlight w:val="white"/>
        </w:rPr>
      </w:pPr>
      <w:bookmarkStart w:id="17" w:name="_44sinio" w:colFirst="0" w:colLast="0"/>
      <w:bookmarkEnd w:id="17"/>
      <w:r w:rsidRPr="00310524">
        <w:rPr>
          <w:rFonts w:ascii="Times New Roman" w:hAnsi="Times New Roman" w:cs="Times New Roman"/>
          <w:highlight w:val="white"/>
        </w:rPr>
        <w:t xml:space="preserve">Data Archiving and Presentation </w:t>
      </w:r>
    </w:p>
    <w:p w14:paraId="70D9A997"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highlight w:val="white"/>
        </w:rPr>
        <w:t>All final products and data will be stored and archived on Bren Network Provided Drive</w:t>
      </w:r>
      <w:proofErr w:type="gramStart"/>
      <w:r w:rsidRPr="00310524">
        <w:rPr>
          <w:rFonts w:ascii="Times New Roman" w:eastAsia="Times New Roman" w:hAnsi="Times New Roman" w:cs="Times New Roman"/>
          <w:color w:val="222222"/>
          <w:sz w:val="24"/>
          <w:szCs w:val="24"/>
          <w:highlight w:val="white"/>
        </w:rPr>
        <w:t>. .</w:t>
      </w:r>
      <w:proofErr w:type="gramEnd"/>
      <w:r w:rsidRPr="00310524">
        <w:rPr>
          <w:rFonts w:ascii="Times New Roman" w:eastAsia="Times New Roman" w:hAnsi="Times New Roman" w:cs="Times New Roman"/>
          <w:color w:val="222222"/>
          <w:sz w:val="24"/>
          <w:szCs w:val="24"/>
          <w:highlight w:val="white"/>
        </w:rPr>
        <w:t xml:space="preserve"> Only data necessary to replicate the Goby Team’s work will be archived. </w:t>
      </w:r>
    </w:p>
    <w:p w14:paraId="694BF220" w14:textId="77777777" w:rsidR="00170E20" w:rsidRPr="00310524" w:rsidRDefault="005D4F94" w:rsidP="00081FCD">
      <w:pPr>
        <w:pStyle w:val="Heading1"/>
        <w:numPr>
          <w:ilvl w:val="0"/>
          <w:numId w:val="7"/>
        </w:numPr>
        <w:rPr>
          <w:rFonts w:ascii="Times New Roman" w:hAnsi="Times New Roman" w:cs="Times New Roman"/>
          <w:highlight w:val="white"/>
        </w:rPr>
      </w:pPr>
      <w:bookmarkStart w:id="18" w:name="_2jxsxqh" w:colFirst="0" w:colLast="0"/>
      <w:bookmarkEnd w:id="18"/>
      <w:r w:rsidRPr="00310524">
        <w:rPr>
          <w:rFonts w:ascii="Times New Roman" w:hAnsi="Times New Roman" w:cs="Times New Roman"/>
          <w:highlight w:val="white"/>
        </w:rPr>
        <w:t>Technical approach to solving the problem</w:t>
      </w:r>
    </w:p>
    <w:p w14:paraId="2194A199"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highlight w:val="white"/>
        </w:rPr>
        <w:t xml:space="preserve">The overall goal of this project is to determine the impact of pyrethroid pesticide on tidewater goby populations. The Goby Team will </w:t>
      </w:r>
      <w:r w:rsidRPr="00310524">
        <w:rPr>
          <w:rFonts w:ascii="Times New Roman" w:eastAsia="Times New Roman" w:hAnsi="Times New Roman" w:cs="Times New Roman"/>
          <w:color w:val="222222"/>
          <w:sz w:val="24"/>
          <w:szCs w:val="24"/>
        </w:rPr>
        <w:t>analyze and develop management strategies to minimize risk to associated with pyrethroids. The management strategies provided will be in the form of readily applicable best practices and project proposals to better support and protect tidewater goby critical habitat. The following approach expands on the Goby Team’s stated objectives and systematically details steps necessary to produce analysis and recommendations for pyrethroid impacts on tidewater goby populations in the region of study.</w:t>
      </w:r>
    </w:p>
    <w:p w14:paraId="5E083A9B" w14:textId="77777777" w:rsidR="00170E20" w:rsidRPr="00310524" w:rsidRDefault="00170E20">
      <w:pPr>
        <w:ind w:left="720"/>
        <w:rPr>
          <w:rFonts w:ascii="Times New Roman" w:eastAsia="Times New Roman" w:hAnsi="Times New Roman" w:cs="Times New Roman"/>
          <w:color w:val="222222"/>
          <w:sz w:val="24"/>
          <w:szCs w:val="24"/>
        </w:rPr>
      </w:pPr>
    </w:p>
    <w:p w14:paraId="7CBD25D8" w14:textId="77777777" w:rsidR="00170E20" w:rsidRPr="00310524" w:rsidRDefault="005D4F94">
      <w:pPr>
        <w:pStyle w:val="Heading2"/>
        <w:rPr>
          <w:rFonts w:ascii="Times New Roman" w:eastAsia="Times New Roman" w:hAnsi="Times New Roman" w:cs="Times New Roman"/>
        </w:rPr>
      </w:pPr>
      <w:bookmarkStart w:id="19" w:name="_z337ya" w:colFirst="0" w:colLast="0"/>
      <w:bookmarkEnd w:id="19"/>
      <w:r w:rsidRPr="00310524">
        <w:rPr>
          <w:rFonts w:ascii="Times New Roman" w:eastAsia="Times New Roman" w:hAnsi="Times New Roman" w:cs="Times New Roman"/>
        </w:rPr>
        <w:lastRenderedPageBreak/>
        <w:t>1) Perform Data Collection, Compilation, and Analysis</w:t>
      </w:r>
    </w:p>
    <w:p w14:paraId="7F61D1FE" w14:textId="77777777" w:rsidR="00170E20" w:rsidRPr="00310524" w:rsidRDefault="005D4F94">
      <w:pPr>
        <w:pStyle w:val="Heading3"/>
        <w:ind w:firstLine="720"/>
        <w:rPr>
          <w:rFonts w:ascii="Times New Roman" w:eastAsia="Times New Roman" w:hAnsi="Times New Roman" w:cs="Times New Roman"/>
          <w:color w:val="222222"/>
        </w:rPr>
      </w:pPr>
      <w:r w:rsidRPr="00310524">
        <w:rPr>
          <w:rFonts w:ascii="Times New Roman" w:eastAsia="Times New Roman" w:hAnsi="Times New Roman" w:cs="Times New Roman"/>
          <w:i/>
        </w:rPr>
        <w:t>Evaluate tidewater goby species population data</w:t>
      </w:r>
    </w:p>
    <w:p w14:paraId="66C1E74C"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To evaluate the tidewater goby population, the Goby Team will collaborate with USFWS partner Brenton Spies. He maintains an unpublished dataset with tidewater goby presence recordings </w:t>
      </w:r>
      <w:r w:rsidR="00081FCD" w:rsidRPr="00310524">
        <w:rPr>
          <w:rFonts w:ascii="Times New Roman" w:eastAsia="Times New Roman" w:hAnsi="Times New Roman" w:cs="Times New Roman"/>
          <w:color w:val="222222"/>
          <w:sz w:val="24"/>
          <w:szCs w:val="24"/>
        </w:rPr>
        <w:t>for nearly</w:t>
      </w:r>
      <w:r w:rsidRPr="00310524">
        <w:rPr>
          <w:rFonts w:ascii="Times New Roman" w:eastAsia="Times New Roman" w:hAnsi="Times New Roman" w:cs="Times New Roman"/>
          <w:color w:val="222222"/>
          <w:sz w:val="24"/>
          <w:szCs w:val="24"/>
        </w:rPr>
        <w:t xml:space="preserve"> 300 coastal California locations. Recordings date back to the 1800s and become much more robust following 1990s.  Over the summer months of 2017, Brenton and members of the Goby Team will conduct field work to update the presence dataset. This may prove to be a very important year of record due to this year’s abundance of rain, making goby habitat recolonization possible. Detailed accounting of colonization and extirpation will allow the Goby Team and Brenton to identify source and sink populations. Identifying source populations allows the Goby Team to make specifically tailored and perhaps more stringent preservation recommendations for habitats of special importance.  </w:t>
      </w:r>
    </w:p>
    <w:p w14:paraId="37D32959" w14:textId="77777777" w:rsidR="00170E20" w:rsidRPr="00310524" w:rsidRDefault="00170E20">
      <w:pPr>
        <w:rPr>
          <w:rFonts w:ascii="Times New Roman" w:eastAsia="Times New Roman" w:hAnsi="Times New Roman" w:cs="Times New Roman"/>
          <w:color w:val="222222"/>
          <w:sz w:val="24"/>
          <w:szCs w:val="24"/>
        </w:rPr>
      </w:pPr>
    </w:p>
    <w:p w14:paraId="3AE613E6" w14:textId="77777777" w:rsidR="00170E20" w:rsidRPr="00310524" w:rsidRDefault="005D4F94">
      <w:pPr>
        <w:pStyle w:val="Heading3"/>
        <w:ind w:firstLine="720"/>
        <w:rPr>
          <w:rFonts w:ascii="Times New Roman" w:hAnsi="Times New Roman" w:cs="Times New Roman"/>
        </w:rPr>
      </w:pPr>
      <w:r w:rsidRPr="00310524">
        <w:rPr>
          <w:rFonts w:ascii="Times New Roman" w:eastAsia="Times New Roman" w:hAnsi="Times New Roman" w:cs="Times New Roman"/>
          <w:i/>
        </w:rPr>
        <w:t>Evaluate Pesticide Use around Ormond Lagoon</w:t>
      </w:r>
    </w:p>
    <w:p w14:paraId="27962CDB" w14:textId="470A1C0C"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In order to evaluate impacts of pyrethroid pesticide use in Ormond Lagoon, the Goby Team will collect data from the Surface Water Ambient Monitoring Program, Ventura County Stormwater Permit, and California Department of Pesticide Regulation. This will include water quality data and pesticide application loads when applicable. The Goby Team will primarily assess the dynamic application rates and water loads of pyrethroids such as bifenthrin and permethrin, but will also examine other major pesticides used in the area which as of 2015 may include chloropicrin, </w:t>
      </w:r>
      <w:proofErr w:type="spellStart"/>
      <w:r w:rsidRPr="00310524">
        <w:rPr>
          <w:rFonts w:ascii="Times New Roman" w:eastAsia="Times New Roman" w:hAnsi="Times New Roman" w:cs="Times New Roman"/>
          <w:color w:val="222222"/>
          <w:sz w:val="24"/>
          <w:szCs w:val="24"/>
        </w:rPr>
        <w:t>fipronil</w:t>
      </w:r>
      <w:proofErr w:type="spellEnd"/>
      <w:r w:rsidRPr="00310524">
        <w:rPr>
          <w:rFonts w:ascii="Times New Roman" w:eastAsia="Times New Roman" w:hAnsi="Times New Roman" w:cs="Times New Roman"/>
          <w:color w:val="222222"/>
          <w:sz w:val="24"/>
          <w:szCs w:val="24"/>
        </w:rPr>
        <w:t xml:space="preserve">, or </w:t>
      </w:r>
      <w:proofErr w:type="spellStart"/>
      <w:r w:rsidRPr="00310524">
        <w:rPr>
          <w:rFonts w:ascii="Times New Roman" w:eastAsia="Times New Roman" w:hAnsi="Times New Roman" w:cs="Times New Roman"/>
          <w:color w:val="222222"/>
          <w:sz w:val="24"/>
          <w:szCs w:val="24"/>
        </w:rPr>
        <w:t>chlorpyrifos</w:t>
      </w:r>
      <w:proofErr w:type="spellEnd"/>
      <w:r w:rsidRPr="00310524">
        <w:rPr>
          <w:rFonts w:ascii="Times New Roman" w:eastAsia="Times New Roman" w:hAnsi="Times New Roman" w:cs="Times New Roman"/>
          <w:color w:val="222222"/>
          <w:sz w:val="24"/>
          <w:szCs w:val="24"/>
        </w:rPr>
        <w:t xml:space="preserve">. This step will heavily rely on the Pesticide Use Reporting (PUR) data required for all agricultural pesticide applications which can be paired with agricultural land use around the study area. Sediment bound concentrations of pyrethroids have been analyzed sparingly in the area and the Goby Team is likely to complete additional assays to inform our research and recommendations. To capture the full range of pesticide applications, non-agricultural uses will also be examined, such as the use of bifenthrin as </w:t>
      </w:r>
      <w:proofErr w:type="gramStart"/>
      <w:r w:rsidRPr="00310524">
        <w:rPr>
          <w:rFonts w:ascii="Times New Roman" w:eastAsia="Times New Roman" w:hAnsi="Times New Roman" w:cs="Times New Roman"/>
          <w:color w:val="222222"/>
          <w:sz w:val="24"/>
          <w:szCs w:val="24"/>
        </w:rPr>
        <w:t>a</w:t>
      </w:r>
      <w:proofErr w:type="gramEnd"/>
      <w:r w:rsidRPr="00310524">
        <w:rPr>
          <w:rFonts w:ascii="Times New Roman" w:eastAsia="Times New Roman" w:hAnsi="Times New Roman" w:cs="Times New Roman"/>
          <w:color w:val="222222"/>
          <w:sz w:val="24"/>
          <w:szCs w:val="24"/>
        </w:rPr>
        <w:t xml:space="preserve"> urban pest control chemical. Since these applications are not included in the PUR protocols, different techniques will be needed to estimate the urban and residential pyrethroid use. This may include using annual sales data, surveying Certified Pest Management Practitioners or other statistical extrapolations. </w:t>
      </w:r>
    </w:p>
    <w:p w14:paraId="4743A048" w14:textId="77777777" w:rsidR="00170E20" w:rsidRPr="00310524" w:rsidRDefault="00170E20">
      <w:pPr>
        <w:ind w:left="720"/>
        <w:rPr>
          <w:rFonts w:ascii="Times New Roman" w:eastAsia="Times New Roman" w:hAnsi="Times New Roman" w:cs="Times New Roman"/>
          <w:color w:val="222222"/>
          <w:sz w:val="24"/>
          <w:szCs w:val="24"/>
        </w:rPr>
      </w:pPr>
    </w:p>
    <w:p w14:paraId="0868B204" w14:textId="77777777" w:rsidR="00170E20" w:rsidRPr="00310524" w:rsidRDefault="005D4F94">
      <w:pPr>
        <w:pStyle w:val="Heading3"/>
        <w:ind w:left="720"/>
        <w:rPr>
          <w:rFonts w:ascii="Times New Roman" w:eastAsia="Times New Roman" w:hAnsi="Times New Roman" w:cs="Times New Roman"/>
          <w:i/>
        </w:rPr>
      </w:pPr>
      <w:r w:rsidRPr="00310524">
        <w:rPr>
          <w:rFonts w:ascii="Times New Roman" w:eastAsia="Times New Roman" w:hAnsi="Times New Roman" w:cs="Times New Roman"/>
          <w:i/>
        </w:rPr>
        <w:t>Develop a geospatial representation of the tidewater goby range as well pyrethroid concentration areas of concern</w:t>
      </w:r>
    </w:p>
    <w:p w14:paraId="3381FE59"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Using the aggregated data, the Goby Team will develop a geospatial document highlighting areas of concern for pyrethroid concentration and compare this to the known population ranges of the tidewater goby. This geospatial representation will rely on data about local extirpation and colonizing populations. These data will be acquired from Brenton Spies, who has extensive information about the presence of tidewater gobies spanning the length of California going back to the 1970s. These goby population data will then be compared to known areas of pyrethroid use. The final product of this step will be completed on ArcGIS. </w:t>
      </w:r>
    </w:p>
    <w:p w14:paraId="1D076D55" w14:textId="77777777" w:rsidR="00170E20" w:rsidRPr="00310524" w:rsidRDefault="00170E20">
      <w:pPr>
        <w:ind w:left="720"/>
        <w:rPr>
          <w:rFonts w:ascii="Times New Roman" w:eastAsia="Times New Roman" w:hAnsi="Times New Roman" w:cs="Times New Roman"/>
          <w:color w:val="222222"/>
          <w:sz w:val="24"/>
          <w:szCs w:val="24"/>
        </w:rPr>
      </w:pPr>
    </w:p>
    <w:p w14:paraId="40FA16EB" w14:textId="4B2726AA" w:rsidR="00170E20" w:rsidRPr="00310524" w:rsidRDefault="005D4F94">
      <w:pPr>
        <w:ind w:left="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 xml:space="preserve">Use the EPA </w:t>
      </w:r>
      <w:r w:rsidR="007214BD">
        <w:rPr>
          <w:rFonts w:ascii="Times New Roman" w:eastAsia="Times New Roman" w:hAnsi="Times New Roman" w:cs="Times New Roman"/>
          <w:i/>
          <w:color w:val="1E4D78"/>
          <w:sz w:val="24"/>
          <w:szCs w:val="24"/>
        </w:rPr>
        <w:t>EXPRESS</w:t>
      </w:r>
      <w:r w:rsidRPr="00310524">
        <w:rPr>
          <w:rFonts w:ascii="Times New Roman" w:eastAsia="Times New Roman" w:hAnsi="Times New Roman" w:cs="Times New Roman"/>
          <w:i/>
          <w:color w:val="1E4D78"/>
          <w:sz w:val="24"/>
          <w:szCs w:val="24"/>
        </w:rPr>
        <w:t xml:space="preserve"> model to estimate any risk to the Tidewater Goby </w:t>
      </w:r>
    </w:p>
    <w:p w14:paraId="554E0252"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The Express (EXAMS-PRZM Exposure Simulation Shell) is a tiered model developed by the Environmental Fate and Effects Division of EPA’s Office of Pesticide Programs to determine the appropriate level of modeling needed to perform a pesticide risk assessment. The tier method is designed to screen out pesticides by requiring higher levels of investigations for each tier that does not pass the previous tier. “Passing” an assessment indicates that the pesticide has a low risk probability to the environment, while “failing” as assessment indicates that the pesticide is either has a high risk likelihood to the environment or must go through the next higher assessment tier. The purpose of this tiered model is to produce a thorough analysis and create a better understanding of which pesticides should be targeted in a given area. </w:t>
      </w:r>
    </w:p>
    <w:p w14:paraId="2CBBF289" w14:textId="77777777" w:rsidR="00170E20" w:rsidRPr="00310524" w:rsidRDefault="00170E20">
      <w:pPr>
        <w:rPr>
          <w:rFonts w:ascii="Times New Roman" w:eastAsia="Times New Roman" w:hAnsi="Times New Roman" w:cs="Times New Roman"/>
          <w:color w:val="222222"/>
          <w:sz w:val="24"/>
          <w:szCs w:val="24"/>
        </w:rPr>
      </w:pPr>
    </w:p>
    <w:p w14:paraId="41543714" w14:textId="066FCFC8"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This two-tiered model is based on the combination of two dynamically linked models: Pesticide Root Zone Model (PRZM) and Exposure Analysis Modeling System (EXAMS). PRZM is a one-dimensional model used to simulate chemical movement in unsaturated soil systems within and immediately below the plant root zone. Each PRZM simulation represents a variation of climatic conditions, crop-specific management practices, specific soil properties, site-specific hydrology, and pesticide-specific application and dissipation processes. Each simulation uses historical data to provide a probabilistic exposure for a single site over several years (generally 30 years). EXAMS “contains a set of process modules that link fundamental chemical properties to the </w:t>
      </w:r>
      <w:proofErr w:type="spellStart"/>
      <w:r w:rsidRPr="00310524">
        <w:rPr>
          <w:rFonts w:ascii="Times New Roman" w:eastAsia="Times New Roman" w:hAnsi="Times New Roman" w:cs="Times New Roman"/>
          <w:color w:val="222222"/>
          <w:sz w:val="24"/>
          <w:szCs w:val="24"/>
        </w:rPr>
        <w:t>limnological</w:t>
      </w:r>
      <w:proofErr w:type="spellEnd"/>
      <w:r w:rsidRPr="00310524">
        <w:rPr>
          <w:rFonts w:ascii="Times New Roman" w:eastAsia="Times New Roman" w:hAnsi="Times New Roman" w:cs="Times New Roman"/>
          <w:color w:val="222222"/>
          <w:sz w:val="24"/>
          <w:szCs w:val="24"/>
        </w:rPr>
        <w:t xml:space="preserve"> parameters that control kinetics of fate and transport of c</w:t>
      </w:r>
      <w:r w:rsidR="008D4A67" w:rsidRPr="00310524">
        <w:rPr>
          <w:rFonts w:ascii="Times New Roman" w:eastAsia="Times New Roman" w:hAnsi="Times New Roman" w:cs="Times New Roman"/>
          <w:color w:val="222222"/>
          <w:sz w:val="24"/>
          <w:szCs w:val="24"/>
        </w:rPr>
        <w:t>hemicals in aquatic ecosystems”</w:t>
      </w:r>
      <w:r w:rsidRPr="00310524">
        <w:rPr>
          <w:rFonts w:ascii="Times New Roman" w:eastAsia="Times New Roman" w:hAnsi="Times New Roman" w:cs="Times New Roman"/>
          <w:color w:val="222222"/>
          <w:sz w:val="24"/>
          <w:szCs w:val="24"/>
        </w:rPr>
        <w:t xml:space="preserve"> (</w:t>
      </w:r>
      <w:r w:rsidR="00F30C1E" w:rsidRPr="00310524">
        <w:rPr>
          <w:rFonts w:ascii="Times New Roman" w:eastAsia="Times New Roman" w:hAnsi="Times New Roman" w:cs="Times New Roman"/>
          <w:color w:val="222222"/>
          <w:sz w:val="24"/>
          <w:szCs w:val="24"/>
        </w:rPr>
        <w:t>Burns 2007; Burns et al. 1982;</w:t>
      </w:r>
      <w:r w:rsidRPr="00310524">
        <w:rPr>
          <w:rFonts w:ascii="Times New Roman" w:eastAsia="Times New Roman" w:hAnsi="Times New Roman" w:cs="Times New Roman"/>
          <w:color w:val="222222"/>
          <w:sz w:val="24"/>
          <w:szCs w:val="24"/>
        </w:rPr>
        <w:t xml:space="preserve"> Burns and Cline 1985</w:t>
      </w:r>
      <w:r w:rsidR="006C5862" w:rsidRPr="00310524">
        <w:rPr>
          <w:rFonts w:ascii="Times New Roman" w:eastAsia="Times New Roman" w:hAnsi="Times New Roman" w:cs="Times New Roman"/>
          <w:color w:val="222222"/>
          <w:sz w:val="24"/>
          <w:szCs w:val="24"/>
        </w:rPr>
        <w:t xml:space="preserve">). </w:t>
      </w:r>
      <w:r w:rsidRPr="00310524">
        <w:rPr>
          <w:rFonts w:ascii="Times New Roman" w:eastAsia="Times New Roman" w:hAnsi="Times New Roman" w:cs="Times New Roman"/>
          <w:color w:val="222222"/>
          <w:sz w:val="24"/>
          <w:szCs w:val="24"/>
        </w:rPr>
        <w:t xml:space="preserve">It accounts for subsequent transport, volatilization, sorption, hydrolysis, biodegradation, and photolysis of the pesticide. The PRZM-EXAMS generates single-day peak concentration, the maximum 24-hr, 96-hr, 21-day, 60-day, and 90-day mean concentrations, and mean annual concentration for pesticides from multiple-year concentrations from water column and benthic sediments. Overall, the PRZM-EXAMS model combines the chemical properties of the pesticide as well as physical data for the area to estimate the risk of a pesticide on ecological and human health. </w:t>
      </w:r>
    </w:p>
    <w:p w14:paraId="56D1D4C7" w14:textId="77777777" w:rsidR="00170E20" w:rsidRPr="00310524" w:rsidRDefault="00170E20">
      <w:pPr>
        <w:rPr>
          <w:rFonts w:ascii="Times New Roman" w:eastAsia="Times New Roman" w:hAnsi="Times New Roman" w:cs="Times New Roman"/>
          <w:color w:val="222222"/>
          <w:sz w:val="24"/>
          <w:szCs w:val="24"/>
        </w:rPr>
      </w:pPr>
    </w:p>
    <w:p w14:paraId="4ADCC051"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The Goby Team will rely heavily on the EPA guidance documents and input more localized conditions for the study area. The model will be simulated to find the risk of 10 classes of pyrethroids (as menti</w:t>
      </w:r>
      <w:r w:rsidR="00081FCD" w:rsidRPr="00310524">
        <w:rPr>
          <w:rFonts w:ascii="Times New Roman" w:eastAsia="Times New Roman" w:hAnsi="Times New Roman" w:cs="Times New Roman"/>
          <w:color w:val="222222"/>
          <w:sz w:val="24"/>
          <w:szCs w:val="24"/>
        </w:rPr>
        <w:t xml:space="preserve">oned in the literature review) </w:t>
      </w:r>
      <w:r w:rsidRPr="00310524">
        <w:rPr>
          <w:rFonts w:ascii="Times New Roman" w:eastAsia="Times New Roman" w:hAnsi="Times New Roman" w:cs="Times New Roman"/>
          <w:color w:val="222222"/>
          <w:sz w:val="24"/>
          <w:szCs w:val="24"/>
        </w:rPr>
        <w:t xml:space="preserve">use in the study area on the tidewater goby.  The following data are needed: </w:t>
      </w:r>
    </w:p>
    <w:p w14:paraId="11CABE18" w14:textId="77777777" w:rsidR="00170E20" w:rsidRPr="00310524" w:rsidRDefault="005D4F94">
      <w:pPr>
        <w:numPr>
          <w:ilvl w:val="0"/>
          <w:numId w:val="3"/>
        </w:numPr>
        <w:ind w:hanging="360"/>
        <w:contextualSpacing/>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PRZM Chemical Parameters: This includes various chemical properties for pyrethroids. These have been either found empirically or estimated in previous EPA studies. </w:t>
      </w:r>
    </w:p>
    <w:p w14:paraId="29EB49F4" w14:textId="77777777" w:rsidR="00170E20" w:rsidRPr="00310524" w:rsidRDefault="005D4F94">
      <w:pPr>
        <w:numPr>
          <w:ilvl w:val="0"/>
          <w:numId w:val="3"/>
        </w:numPr>
        <w:ind w:hanging="360"/>
        <w:contextualSpacing/>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EXAMS and Environmental Fate Parameters:</w:t>
      </w:r>
      <w:r w:rsidR="00081FCD" w:rsidRPr="00310524">
        <w:rPr>
          <w:rFonts w:ascii="Times New Roman" w:eastAsia="Times New Roman" w:hAnsi="Times New Roman" w:cs="Times New Roman"/>
          <w:color w:val="222222"/>
          <w:sz w:val="24"/>
          <w:szCs w:val="24"/>
        </w:rPr>
        <w:t xml:space="preserve"> </w:t>
      </w:r>
      <w:r w:rsidRPr="00310524">
        <w:rPr>
          <w:rFonts w:ascii="Times New Roman" w:eastAsia="Times New Roman" w:hAnsi="Times New Roman" w:cs="Times New Roman"/>
          <w:color w:val="222222"/>
          <w:sz w:val="24"/>
          <w:szCs w:val="24"/>
        </w:rPr>
        <w:t xml:space="preserve">This includes any transformative processes that pyrethroids experience in the environment, the spatial distribution of the pyrethroids in the aquatic ecosystem, and persistence of the pyrethroids. These values can be gathered from previous EPA studies from the EPA’s website. </w:t>
      </w:r>
    </w:p>
    <w:p w14:paraId="4280E810" w14:textId="77777777" w:rsidR="00170E20" w:rsidRPr="00310524" w:rsidRDefault="005D4F94">
      <w:pPr>
        <w:numPr>
          <w:ilvl w:val="0"/>
          <w:numId w:val="3"/>
        </w:numPr>
        <w:ind w:hanging="360"/>
        <w:contextualSpacing/>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PRZM Application Data for Pesticide Use Patterns: This will require gathering data on </w:t>
      </w:r>
      <w:r w:rsidRPr="00310524">
        <w:rPr>
          <w:rFonts w:ascii="Times New Roman" w:eastAsia="Times New Roman" w:hAnsi="Times New Roman" w:cs="Times New Roman"/>
          <w:color w:val="222222"/>
          <w:sz w:val="24"/>
          <w:szCs w:val="24"/>
        </w:rPr>
        <w:lastRenderedPageBreak/>
        <w:t xml:space="preserve">the various pyrethroid uses in the study area. Much of this data are provided by CDPR. </w:t>
      </w:r>
    </w:p>
    <w:p w14:paraId="66538028" w14:textId="77777777" w:rsidR="00170E20" w:rsidRPr="00310524" w:rsidRDefault="00170E20">
      <w:pPr>
        <w:rPr>
          <w:rFonts w:ascii="Times New Roman" w:eastAsia="Times New Roman" w:hAnsi="Times New Roman" w:cs="Times New Roman"/>
          <w:color w:val="222222"/>
          <w:sz w:val="24"/>
          <w:szCs w:val="24"/>
        </w:rPr>
      </w:pPr>
    </w:p>
    <w:p w14:paraId="2C687046" w14:textId="77777777" w:rsidR="00170E20" w:rsidRPr="00310524" w:rsidRDefault="005D4F94">
      <w:pPr>
        <w:pStyle w:val="Heading2"/>
        <w:rPr>
          <w:rFonts w:ascii="Times New Roman" w:eastAsia="Times New Roman" w:hAnsi="Times New Roman" w:cs="Times New Roman"/>
        </w:rPr>
      </w:pPr>
      <w:bookmarkStart w:id="20" w:name="_3j2qqm3" w:colFirst="0" w:colLast="0"/>
      <w:bookmarkEnd w:id="20"/>
      <w:r w:rsidRPr="00310524">
        <w:rPr>
          <w:rFonts w:ascii="Times New Roman" w:eastAsia="Times New Roman" w:hAnsi="Times New Roman" w:cs="Times New Roman"/>
        </w:rPr>
        <w:t xml:space="preserve">2) Identify and evaluate strategies for pyrethroid pesticide use reduction and mitigation of its effects on the Tidewater Goby for the Ventura Area. </w:t>
      </w:r>
    </w:p>
    <w:p w14:paraId="3DA7FCEE" w14:textId="77777777" w:rsidR="00170E20" w:rsidRPr="00310524" w:rsidRDefault="005D4F94">
      <w:pPr>
        <w:ind w:firstLine="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Review formal literature and existing studies</w:t>
      </w:r>
    </w:p>
    <w:p w14:paraId="709F0595"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The goal of the literature review will be to compile information relevant to pyrethroid pesticide use and reduction. From the Goby team’s research on pyrethroid pesticide use reduction, different strategies will be evaluated for effectiveness. Additionally, information of pyrethroid mitigation and its effects on the tidewater goby will be evaluated for the Ventura Area. Research and compilation from existing studies will be used as template and starting point identifying effective strategies. </w:t>
      </w:r>
    </w:p>
    <w:p w14:paraId="1FA61E24" w14:textId="77777777" w:rsidR="00170E20" w:rsidRPr="00310524" w:rsidRDefault="00170E20">
      <w:pPr>
        <w:rPr>
          <w:rFonts w:ascii="Times New Roman" w:eastAsia="Times New Roman" w:hAnsi="Times New Roman" w:cs="Times New Roman"/>
          <w:color w:val="222222"/>
          <w:sz w:val="24"/>
          <w:szCs w:val="24"/>
        </w:rPr>
      </w:pPr>
    </w:p>
    <w:p w14:paraId="01DDC7FC" w14:textId="38031E60" w:rsidR="00170E20" w:rsidRPr="00310524" w:rsidRDefault="005D4F94" w:rsidP="007214BD">
      <w:pPr>
        <w:ind w:left="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Identify feasible pyrethroid management strategies for reduced use and smaller effects on the tidewater goby</w:t>
      </w:r>
    </w:p>
    <w:p w14:paraId="344DB4B0" w14:textId="77777777" w:rsidR="00170E20" w:rsidRPr="00310524" w:rsidRDefault="005D4F94">
      <w:pPr>
        <w:rPr>
          <w:rFonts w:ascii="Times New Roman" w:eastAsia="Times New Roman" w:hAnsi="Times New Roman" w:cs="Times New Roman"/>
          <w:color w:val="222222"/>
          <w:sz w:val="24"/>
          <w:szCs w:val="24"/>
        </w:rPr>
      </w:pPr>
      <w:r w:rsidRPr="00310524">
        <w:rPr>
          <w:rFonts w:ascii="Times New Roman" w:eastAsia="Times New Roman" w:hAnsi="Times New Roman" w:cs="Times New Roman"/>
          <w:color w:val="222222"/>
          <w:sz w:val="24"/>
          <w:szCs w:val="24"/>
        </w:rPr>
        <w:t xml:space="preserve">From the literature review findings, the Goby Team will evaluate the feasibility for mitigation efforts and pyrethroid pesticide reduction strategies for the Ventura Area. Specifically, identifying the feasibility of reducing pyrethroid pesticide impacts of the tidewater goby. The Goby Team has begun to explore BMPs for reducing the likelihood that pyrethroids will run off from application sites, and measures that can be taken to prevent them from entering sensitive habitat. The Goby Team will also research pesticide use, and techniques that are currently utilized to reduce the quantity of pesticide used in both home and agricultural applications. Coupled with the literature findings, the Goby Team will incorporate results from the PRZM/EXAMS model to provide informed management strategies. </w:t>
      </w:r>
    </w:p>
    <w:p w14:paraId="241988E0" w14:textId="77777777" w:rsidR="00170E20" w:rsidRPr="00310524" w:rsidRDefault="00170E20">
      <w:pPr>
        <w:rPr>
          <w:rFonts w:ascii="Times New Roman" w:eastAsia="Times New Roman" w:hAnsi="Times New Roman" w:cs="Times New Roman"/>
          <w:i/>
          <w:color w:val="222222"/>
          <w:sz w:val="24"/>
          <w:szCs w:val="24"/>
        </w:rPr>
      </w:pPr>
    </w:p>
    <w:p w14:paraId="02A4C80E" w14:textId="77777777" w:rsidR="00170E20" w:rsidRPr="00310524" w:rsidRDefault="005D4F94">
      <w:pPr>
        <w:pStyle w:val="Heading2"/>
        <w:rPr>
          <w:rFonts w:ascii="Times New Roman" w:eastAsia="Times New Roman" w:hAnsi="Times New Roman" w:cs="Times New Roman"/>
        </w:rPr>
      </w:pPr>
      <w:bookmarkStart w:id="21" w:name="_1y810tw" w:colFirst="0" w:colLast="0"/>
      <w:bookmarkEnd w:id="21"/>
      <w:r w:rsidRPr="00310524">
        <w:rPr>
          <w:rFonts w:ascii="Times New Roman" w:eastAsia="Times New Roman" w:hAnsi="Times New Roman" w:cs="Times New Roman"/>
        </w:rPr>
        <w:t>3) Develop our recommendations for pyrethroid management into a guidance document.</w:t>
      </w:r>
    </w:p>
    <w:p w14:paraId="069B69ED" w14:textId="77777777" w:rsidR="00170E20" w:rsidRPr="00310524" w:rsidRDefault="005D4F94">
      <w:pPr>
        <w:rPr>
          <w:rFonts w:ascii="Times New Roman" w:eastAsia="Times New Roman" w:hAnsi="Times New Roman" w:cs="Times New Roman"/>
          <w:color w:val="222222"/>
          <w:sz w:val="24"/>
          <w:szCs w:val="24"/>
        </w:rPr>
      </w:pPr>
      <w:bookmarkStart w:id="22" w:name="_xhmtyqoyzab5" w:colFirst="0" w:colLast="0"/>
      <w:bookmarkEnd w:id="22"/>
      <w:r w:rsidRPr="00310524">
        <w:rPr>
          <w:rFonts w:ascii="Times New Roman" w:eastAsia="Times New Roman" w:hAnsi="Times New Roman" w:cs="Times New Roman"/>
          <w:color w:val="222222"/>
          <w:sz w:val="24"/>
          <w:szCs w:val="24"/>
        </w:rPr>
        <w:t>Lastly, the Goby Team will synthesize findings from each objective listed into a well-organized and professional guidance document. The document will scientifically evaluate and identify pyrethroid pesticide uses and mitigation efforts to minimize the risk of species loss. Findings will be made available to relevant management bodies and shared with USFWS.</w:t>
      </w:r>
    </w:p>
    <w:p w14:paraId="133B5C5B" w14:textId="77777777" w:rsidR="00170E20" w:rsidRPr="00310524" w:rsidRDefault="00170E20">
      <w:pPr>
        <w:rPr>
          <w:rFonts w:ascii="Times New Roman" w:eastAsia="Times New Roman" w:hAnsi="Times New Roman" w:cs="Times New Roman"/>
          <w:color w:val="222222"/>
          <w:sz w:val="24"/>
          <w:szCs w:val="24"/>
        </w:rPr>
      </w:pPr>
      <w:bookmarkStart w:id="23" w:name="_4i7ojhp" w:colFirst="0" w:colLast="0"/>
      <w:bookmarkEnd w:id="23"/>
    </w:p>
    <w:p w14:paraId="6752BC74" w14:textId="77777777" w:rsidR="00170E20" w:rsidRPr="00310524" w:rsidRDefault="005D4F94" w:rsidP="00081FCD">
      <w:pPr>
        <w:pStyle w:val="Heading1"/>
        <w:numPr>
          <w:ilvl w:val="0"/>
          <w:numId w:val="7"/>
        </w:numPr>
        <w:rPr>
          <w:rFonts w:ascii="Times New Roman" w:hAnsi="Times New Roman" w:cs="Times New Roman"/>
          <w:highlight w:val="white"/>
        </w:rPr>
      </w:pPr>
      <w:bookmarkStart w:id="24" w:name="_2xcytpi" w:colFirst="0" w:colLast="0"/>
      <w:bookmarkEnd w:id="24"/>
      <w:r w:rsidRPr="00310524">
        <w:rPr>
          <w:rFonts w:ascii="Times New Roman" w:hAnsi="Times New Roman" w:cs="Times New Roman"/>
          <w:highlight w:val="white"/>
        </w:rPr>
        <w:t xml:space="preserve">Deliverables </w:t>
      </w:r>
    </w:p>
    <w:p w14:paraId="6C14A1F1" w14:textId="77777777" w:rsidR="00170E20" w:rsidRPr="00310524" w:rsidRDefault="00170E20">
      <w:pPr>
        <w:rPr>
          <w:rFonts w:ascii="Times New Roman" w:eastAsia="Times New Roman" w:hAnsi="Times New Roman" w:cs="Times New Roman"/>
          <w:highlight w:val="white"/>
        </w:rPr>
      </w:pPr>
    </w:p>
    <w:p w14:paraId="6E957D01"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Beyond a final written report, policy brief, poster, and oral presentation, the group will provide:</w:t>
      </w:r>
    </w:p>
    <w:p w14:paraId="77E98346" w14:textId="77777777" w:rsidR="00170E20" w:rsidRPr="00310524" w:rsidRDefault="005D4F94">
      <w:pPr>
        <w:numPr>
          <w:ilvl w:val="0"/>
          <w:numId w:val="6"/>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A geospatial representation of pyrethroid contamination in regional waterways of relevance to tidewater goby recovery. </w:t>
      </w:r>
    </w:p>
    <w:p w14:paraId="545E14A2" w14:textId="77777777" w:rsidR="00170E20" w:rsidRPr="00310524" w:rsidRDefault="005D4F94">
      <w:pPr>
        <w:numPr>
          <w:ilvl w:val="0"/>
          <w:numId w:val="6"/>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Results of a PRZM/EXAMS analysis using local water quality, pesticide use, and land use data in the Oxnard/Port Hueneme area;</w:t>
      </w:r>
    </w:p>
    <w:p w14:paraId="384A5C99" w14:textId="77777777" w:rsidR="00170E20" w:rsidRPr="00310524" w:rsidRDefault="005D4F94">
      <w:pPr>
        <w:numPr>
          <w:ilvl w:val="0"/>
          <w:numId w:val="6"/>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Management recommendations for minimizing negative impacts of pyrethroid contamination. Potential recommendations include pesticide application rates and </w:t>
      </w:r>
      <w:r w:rsidRPr="00310524">
        <w:rPr>
          <w:rFonts w:ascii="Times New Roman" w:eastAsia="Times New Roman" w:hAnsi="Times New Roman" w:cs="Times New Roman"/>
          <w:sz w:val="24"/>
          <w:szCs w:val="24"/>
        </w:rPr>
        <w:lastRenderedPageBreak/>
        <w:t xml:space="preserve">protocols, best management practices, stormwater treatment strategies, and critical habitat maintenance.  </w:t>
      </w:r>
    </w:p>
    <w:p w14:paraId="17CF39F1" w14:textId="77777777" w:rsidR="00170E20" w:rsidRPr="00310524" w:rsidRDefault="00170E20">
      <w:pPr>
        <w:ind w:left="720"/>
        <w:rPr>
          <w:rFonts w:ascii="Times New Roman" w:eastAsia="Times New Roman" w:hAnsi="Times New Roman" w:cs="Times New Roman"/>
          <w:color w:val="222222"/>
          <w:sz w:val="24"/>
          <w:szCs w:val="24"/>
          <w:highlight w:val="white"/>
        </w:rPr>
      </w:pPr>
    </w:p>
    <w:p w14:paraId="03EE9CA9"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Additionally, this project will fulfill academic requirements necessary to complete each quarterly course towards earning the MESM degree. The class code, timing, and necessary deliverables are included below.</w:t>
      </w:r>
    </w:p>
    <w:p w14:paraId="73FCA528" w14:textId="77777777" w:rsidR="00170E20" w:rsidRPr="00310524" w:rsidRDefault="00170E20">
      <w:pPr>
        <w:rPr>
          <w:rFonts w:ascii="Times New Roman" w:eastAsia="Times New Roman" w:hAnsi="Times New Roman" w:cs="Times New Roman"/>
          <w:sz w:val="24"/>
          <w:szCs w:val="24"/>
        </w:rPr>
      </w:pPr>
    </w:p>
    <w:p w14:paraId="3E58DE5A" w14:textId="77777777" w:rsidR="00170E20" w:rsidRPr="00310524" w:rsidRDefault="005D4F94">
      <w:pPr>
        <w:pStyle w:val="Heading2"/>
        <w:rPr>
          <w:rFonts w:ascii="Times New Roman" w:eastAsia="Times New Roman" w:hAnsi="Times New Roman" w:cs="Times New Roman"/>
        </w:rPr>
      </w:pPr>
      <w:bookmarkStart w:id="25" w:name="_1ci93xb" w:colFirst="0" w:colLast="0"/>
      <w:bookmarkEnd w:id="25"/>
      <w:r w:rsidRPr="00310524">
        <w:rPr>
          <w:rFonts w:ascii="Times New Roman" w:eastAsia="Times New Roman" w:hAnsi="Times New Roman" w:cs="Times New Roman"/>
        </w:rPr>
        <w:t>ESM 401A (Spring 2017)</w:t>
      </w:r>
    </w:p>
    <w:p w14:paraId="7256EF0B"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Scoping of the Project:</w:t>
      </w:r>
      <w:r w:rsidRPr="00310524">
        <w:rPr>
          <w:rFonts w:ascii="Times New Roman" w:eastAsia="Times New Roman" w:hAnsi="Times New Roman" w:cs="Times New Roman"/>
          <w:sz w:val="24"/>
          <w:szCs w:val="24"/>
        </w:rPr>
        <w:t xml:space="preserve"> Through clear and frequent communication with our client and advisor, our team developed the collective understanding of the project proposal into a more fully realized endeavor. </w:t>
      </w:r>
    </w:p>
    <w:p w14:paraId="0C1D7CB9"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Work Plan:</w:t>
      </w:r>
      <w:r w:rsidRPr="00310524">
        <w:rPr>
          <w:rFonts w:ascii="Times New Roman" w:eastAsia="Times New Roman" w:hAnsi="Times New Roman" w:cs="Times New Roman"/>
          <w:color w:val="1E4D78"/>
        </w:rPr>
        <w:t xml:space="preserve"> </w:t>
      </w:r>
      <w:r w:rsidRPr="00310524">
        <w:rPr>
          <w:rFonts w:ascii="Times New Roman" w:eastAsia="Times New Roman" w:hAnsi="Times New Roman" w:cs="Times New Roman"/>
          <w:sz w:val="24"/>
          <w:szCs w:val="24"/>
        </w:rPr>
        <w:t>The culmination of the group’s progress thus far, the work plan is a concrete and realistic statement of what the group will do to the solve the assigned problem for the client. The report will include significant articulation of the project’s specific challenges, requirements, and goals.</w:t>
      </w:r>
    </w:p>
    <w:p w14:paraId="62468545"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 xml:space="preserve">Work Plan Review: </w:t>
      </w:r>
      <w:r w:rsidRPr="00310524">
        <w:rPr>
          <w:rFonts w:ascii="Times New Roman" w:eastAsia="Times New Roman" w:hAnsi="Times New Roman" w:cs="Times New Roman"/>
          <w:sz w:val="24"/>
          <w:szCs w:val="24"/>
        </w:rPr>
        <w:t xml:space="preserve">Collaboration with and guidance from our academic advisors, external advisors, and clients allow our team to digest constructive criticisms and refine the quality and accuracy of our work pan. </w:t>
      </w:r>
    </w:p>
    <w:p w14:paraId="46738D85"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Website:</w:t>
      </w:r>
      <w:r w:rsidRPr="00310524">
        <w:rPr>
          <w:rFonts w:ascii="Times New Roman" w:eastAsia="Times New Roman" w:hAnsi="Times New Roman" w:cs="Times New Roman"/>
          <w:sz w:val="24"/>
          <w:szCs w:val="24"/>
        </w:rPr>
        <w:t xml:space="preserve"> Establishing an online presence allows our team to more easily share our personal and project related information. This will be updated regularly to reflect the current state-of-affairs and will provide a lasting record of our team’s efforts. </w:t>
      </w:r>
    </w:p>
    <w:p w14:paraId="5A08FEE8" w14:textId="77777777" w:rsidR="00170E20" w:rsidRPr="00310524" w:rsidRDefault="00170E20">
      <w:pPr>
        <w:rPr>
          <w:rFonts w:ascii="Times New Roman" w:eastAsia="Times New Roman" w:hAnsi="Times New Roman" w:cs="Times New Roman"/>
          <w:sz w:val="24"/>
          <w:szCs w:val="24"/>
        </w:rPr>
      </w:pPr>
    </w:p>
    <w:p w14:paraId="2627F116" w14:textId="77777777" w:rsidR="00170E20" w:rsidRPr="00310524" w:rsidRDefault="005D4F94">
      <w:pPr>
        <w:pStyle w:val="Heading2"/>
        <w:rPr>
          <w:rFonts w:ascii="Times New Roman" w:eastAsia="Times New Roman" w:hAnsi="Times New Roman" w:cs="Times New Roman"/>
        </w:rPr>
      </w:pPr>
      <w:bookmarkStart w:id="26" w:name="_3whwml4" w:colFirst="0" w:colLast="0"/>
      <w:bookmarkEnd w:id="26"/>
      <w:r w:rsidRPr="00310524">
        <w:rPr>
          <w:rFonts w:ascii="Times New Roman" w:eastAsia="Times New Roman" w:hAnsi="Times New Roman" w:cs="Times New Roman"/>
        </w:rPr>
        <w:t>ESM 401B (Fall 2017)</w:t>
      </w:r>
    </w:p>
    <w:p w14:paraId="6558948F"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Fall Progress Review Meeting:</w:t>
      </w:r>
      <w:r w:rsidRPr="00310524">
        <w:rPr>
          <w:rFonts w:ascii="Times New Roman" w:eastAsia="Times New Roman" w:hAnsi="Times New Roman" w:cs="Times New Roman"/>
          <w:sz w:val="24"/>
          <w:szCs w:val="24"/>
        </w:rPr>
        <w:t xml:space="preserve"> This meeting between all associated parties allows our team to update our clients on the progress of the project. Significant data analysis and figure design will occur in the quarter and this meeting will be timed to allow for post-meeting adjustments, should they be necessary.</w:t>
      </w:r>
    </w:p>
    <w:p w14:paraId="12481B4D" w14:textId="77777777" w:rsidR="00170E20" w:rsidRPr="00310524" w:rsidRDefault="00170E20">
      <w:pPr>
        <w:rPr>
          <w:rFonts w:ascii="Times New Roman" w:eastAsia="Times New Roman" w:hAnsi="Times New Roman" w:cs="Times New Roman"/>
          <w:sz w:val="24"/>
          <w:szCs w:val="24"/>
        </w:rPr>
      </w:pPr>
    </w:p>
    <w:p w14:paraId="734C1B48" w14:textId="77777777" w:rsidR="00170E20" w:rsidRPr="00310524" w:rsidRDefault="005D4F94">
      <w:pPr>
        <w:pStyle w:val="Heading2"/>
        <w:rPr>
          <w:rFonts w:ascii="Times New Roman" w:eastAsia="Times New Roman" w:hAnsi="Times New Roman" w:cs="Times New Roman"/>
        </w:rPr>
      </w:pPr>
      <w:bookmarkStart w:id="27" w:name="_2bn6wsx" w:colFirst="0" w:colLast="0"/>
      <w:bookmarkEnd w:id="27"/>
      <w:r w:rsidRPr="00310524">
        <w:rPr>
          <w:rFonts w:ascii="Times New Roman" w:eastAsia="Times New Roman" w:hAnsi="Times New Roman" w:cs="Times New Roman"/>
        </w:rPr>
        <w:t>ESM 401C (Winter 2018)</w:t>
      </w:r>
    </w:p>
    <w:p w14:paraId="49BF8FD8"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 xml:space="preserve">Draft Final Report: </w:t>
      </w:r>
      <w:r w:rsidRPr="00310524">
        <w:rPr>
          <w:rFonts w:ascii="Times New Roman" w:eastAsia="Times New Roman" w:hAnsi="Times New Roman" w:cs="Times New Roman"/>
          <w:sz w:val="24"/>
          <w:szCs w:val="24"/>
        </w:rPr>
        <w:t>The final report is a complete discussion of the project’s objectives, significance, methodologies, results, and accomplishments. A high quality draft of the final report must be completed by mid-winter quarter (before the group’s defense) and the final report is due at the end of winter quarter.</w:t>
      </w:r>
    </w:p>
    <w:p w14:paraId="54FE2084"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Project Defense:</w:t>
      </w:r>
      <w:r w:rsidRPr="00310524">
        <w:rPr>
          <w:rFonts w:ascii="Times New Roman" w:eastAsia="Times New Roman" w:hAnsi="Times New Roman" w:cs="Times New Roman"/>
          <w:sz w:val="24"/>
          <w:szCs w:val="24"/>
        </w:rPr>
        <w:t xml:space="preserve"> The team will present our analytical approaches and findings to Bren faculty, staff, and students for their review. This is an opportunity to clarify deliverables and refine our communication. </w:t>
      </w:r>
    </w:p>
    <w:p w14:paraId="343259FF" w14:textId="77777777" w:rsidR="00170E20" w:rsidRPr="00310524" w:rsidRDefault="00170E20">
      <w:pPr>
        <w:rPr>
          <w:rFonts w:ascii="Times New Roman" w:eastAsia="Times New Roman" w:hAnsi="Times New Roman" w:cs="Times New Roman"/>
          <w:sz w:val="24"/>
          <w:szCs w:val="24"/>
        </w:rPr>
      </w:pPr>
    </w:p>
    <w:p w14:paraId="0AB350A6" w14:textId="77777777" w:rsidR="00170E20" w:rsidRPr="00310524" w:rsidRDefault="005D4F94">
      <w:pPr>
        <w:pStyle w:val="Heading2"/>
        <w:rPr>
          <w:rFonts w:ascii="Times New Roman" w:eastAsia="Times New Roman" w:hAnsi="Times New Roman" w:cs="Times New Roman"/>
        </w:rPr>
      </w:pPr>
      <w:bookmarkStart w:id="28" w:name="_qsh70q" w:colFirst="0" w:colLast="0"/>
      <w:bookmarkEnd w:id="28"/>
      <w:r w:rsidRPr="00310524">
        <w:rPr>
          <w:rFonts w:ascii="Times New Roman" w:eastAsia="Times New Roman" w:hAnsi="Times New Roman" w:cs="Times New Roman"/>
        </w:rPr>
        <w:t>ESM 401D (Spring 2018)</w:t>
      </w:r>
    </w:p>
    <w:p w14:paraId="1C29AEF2"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 xml:space="preserve">Project Brief: </w:t>
      </w:r>
      <w:r w:rsidRPr="00310524">
        <w:rPr>
          <w:rFonts w:ascii="Times New Roman" w:eastAsia="Times New Roman" w:hAnsi="Times New Roman" w:cs="Times New Roman"/>
          <w:sz w:val="24"/>
          <w:szCs w:val="24"/>
        </w:rPr>
        <w:t xml:space="preserve">This succinct report will serve to inform to non-expert individuals about the importance of the project, the problem specifics, and the recommended solutions. </w:t>
      </w:r>
    </w:p>
    <w:p w14:paraId="06294E10"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lastRenderedPageBreak/>
        <w:t>Project Poster:</w:t>
      </w:r>
      <w:r w:rsidRPr="00310524">
        <w:rPr>
          <w:rFonts w:ascii="Times New Roman" w:eastAsia="Times New Roman" w:hAnsi="Times New Roman" w:cs="Times New Roman"/>
          <w:sz w:val="24"/>
          <w:szCs w:val="24"/>
        </w:rPr>
        <w:t xml:space="preserve"> A large and unique poster will convey the full scope of the project in an approachable and engaging matter. </w:t>
      </w:r>
    </w:p>
    <w:p w14:paraId="79A46E9C"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 xml:space="preserve">Final Presentation: </w:t>
      </w:r>
      <w:r w:rsidRPr="00310524">
        <w:rPr>
          <w:rFonts w:ascii="Times New Roman" w:eastAsia="Times New Roman" w:hAnsi="Times New Roman" w:cs="Times New Roman"/>
          <w:sz w:val="24"/>
          <w:szCs w:val="24"/>
        </w:rPr>
        <w:t>Master’s Project final presentations celebrate the completion of innovative, leading edge research and offer the opportunity for Bren MESM students to share their work with faculty, peers, potential employers, members of the community, family and friends.</w:t>
      </w:r>
    </w:p>
    <w:p w14:paraId="34345CB8" w14:textId="77777777" w:rsidR="00170E20" w:rsidRPr="00310524" w:rsidRDefault="005D4F94">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Website:</w:t>
      </w:r>
      <w:r w:rsidRPr="00310524">
        <w:rPr>
          <w:rFonts w:ascii="Times New Roman" w:eastAsia="Times New Roman" w:hAnsi="Times New Roman" w:cs="Times New Roman"/>
          <w:sz w:val="24"/>
          <w:szCs w:val="24"/>
        </w:rPr>
        <w:t xml:space="preserve"> Creation and maintenance of the website is in progress. </w:t>
      </w:r>
    </w:p>
    <w:p w14:paraId="4938C7AE" w14:textId="0CBD6F26" w:rsidR="00170E20" w:rsidRPr="00BA32FB" w:rsidRDefault="005D4F94" w:rsidP="00BA32FB">
      <w:pPr>
        <w:ind w:firstLine="720"/>
        <w:rPr>
          <w:rFonts w:ascii="Times New Roman" w:eastAsia="Times New Roman" w:hAnsi="Times New Roman" w:cs="Times New Roman"/>
          <w:sz w:val="24"/>
          <w:szCs w:val="24"/>
        </w:rPr>
      </w:pPr>
      <w:r w:rsidRPr="00310524">
        <w:rPr>
          <w:rFonts w:ascii="Times New Roman" w:eastAsia="Times New Roman" w:hAnsi="Times New Roman" w:cs="Times New Roman"/>
          <w:i/>
          <w:color w:val="1E4D78"/>
          <w:sz w:val="24"/>
          <w:szCs w:val="24"/>
        </w:rPr>
        <w:t>Data and Metadata:</w:t>
      </w:r>
      <w:r w:rsidRPr="00310524">
        <w:rPr>
          <w:rFonts w:ascii="Times New Roman" w:eastAsia="Times New Roman" w:hAnsi="Times New Roman" w:cs="Times New Roman"/>
          <w:sz w:val="24"/>
          <w:szCs w:val="24"/>
        </w:rPr>
        <w:t xml:space="preserve"> Data used in the project and associated metadata must be archived and made available through the Bren School and UCSB Library.</w:t>
      </w:r>
    </w:p>
    <w:p w14:paraId="22514A8F" w14:textId="77777777" w:rsidR="00170E20" w:rsidRPr="00310524" w:rsidRDefault="005D4F94" w:rsidP="00081FCD">
      <w:pPr>
        <w:pStyle w:val="Heading1"/>
        <w:numPr>
          <w:ilvl w:val="0"/>
          <w:numId w:val="7"/>
        </w:numPr>
        <w:rPr>
          <w:rFonts w:ascii="Times New Roman" w:hAnsi="Times New Roman" w:cs="Times New Roman"/>
          <w:highlight w:val="white"/>
        </w:rPr>
      </w:pPr>
      <w:bookmarkStart w:id="29" w:name="_3as4poj" w:colFirst="0" w:colLast="0"/>
      <w:bookmarkEnd w:id="29"/>
      <w:r w:rsidRPr="00310524">
        <w:rPr>
          <w:rFonts w:ascii="Times New Roman" w:hAnsi="Times New Roman" w:cs="Times New Roman"/>
          <w:highlight w:val="white"/>
        </w:rPr>
        <w:t xml:space="preserve">Milestones </w:t>
      </w:r>
    </w:p>
    <w:p w14:paraId="23A61C74" w14:textId="77777777" w:rsidR="00170E20" w:rsidRPr="00310524" w:rsidRDefault="00170E20">
      <w:pPr>
        <w:rPr>
          <w:rFonts w:ascii="Times New Roman" w:eastAsia="Times New Roman" w:hAnsi="Times New Roman" w:cs="Times New Roman"/>
          <w:highlight w:val="white"/>
        </w:rPr>
      </w:pPr>
    </w:p>
    <w:p w14:paraId="369E5313" w14:textId="77777777" w:rsidR="00170E20" w:rsidRPr="00310524" w:rsidRDefault="005D4F94">
      <w:pPr>
        <w:pStyle w:val="Heading2"/>
        <w:rPr>
          <w:rFonts w:ascii="Times New Roman" w:eastAsia="Times New Roman" w:hAnsi="Times New Roman" w:cs="Times New Roman"/>
        </w:rPr>
      </w:pPr>
      <w:bookmarkStart w:id="30" w:name="_1pxezwc" w:colFirst="0" w:colLast="0"/>
      <w:bookmarkEnd w:id="30"/>
      <w:r w:rsidRPr="00310524">
        <w:rPr>
          <w:rFonts w:ascii="Times New Roman" w:eastAsia="Times New Roman" w:hAnsi="Times New Roman" w:cs="Times New Roman"/>
        </w:rPr>
        <w:t>Spring Quarter 2017:</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E20" w:rsidRPr="00310524" w14:paraId="0836F316" w14:textId="77777777">
        <w:trPr>
          <w:trHeight w:val="960"/>
        </w:trPr>
        <w:tc>
          <w:tcPr>
            <w:tcW w:w="4680" w:type="dxa"/>
            <w:tcMar>
              <w:top w:w="100" w:type="dxa"/>
              <w:left w:w="100" w:type="dxa"/>
              <w:bottom w:w="100" w:type="dxa"/>
              <w:right w:w="100" w:type="dxa"/>
            </w:tcMar>
          </w:tcPr>
          <w:p w14:paraId="72E5DDEF"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Friday, May 12th </w:t>
            </w:r>
          </w:p>
        </w:tc>
        <w:tc>
          <w:tcPr>
            <w:tcW w:w="4680" w:type="dxa"/>
            <w:tcMar>
              <w:top w:w="100" w:type="dxa"/>
              <w:left w:w="100" w:type="dxa"/>
              <w:bottom w:w="100" w:type="dxa"/>
              <w:right w:w="100" w:type="dxa"/>
            </w:tcMar>
          </w:tcPr>
          <w:p w14:paraId="77801873"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Project work plan submitted to Faculty Advisor, External Advisors, and Client</w:t>
            </w:r>
          </w:p>
        </w:tc>
      </w:tr>
      <w:tr w:rsidR="00170E20" w:rsidRPr="00310524" w14:paraId="106FBEF7" w14:textId="77777777">
        <w:tc>
          <w:tcPr>
            <w:tcW w:w="4680" w:type="dxa"/>
            <w:tcMar>
              <w:top w:w="100" w:type="dxa"/>
              <w:left w:w="100" w:type="dxa"/>
              <w:bottom w:w="100" w:type="dxa"/>
              <w:right w:w="100" w:type="dxa"/>
            </w:tcMar>
          </w:tcPr>
          <w:p w14:paraId="3F18377C"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Friday, May 12th </w:t>
            </w:r>
          </w:p>
        </w:tc>
        <w:tc>
          <w:tcPr>
            <w:tcW w:w="4680" w:type="dxa"/>
            <w:tcMar>
              <w:top w:w="100" w:type="dxa"/>
              <w:left w:w="100" w:type="dxa"/>
              <w:bottom w:w="100" w:type="dxa"/>
              <w:right w:w="100" w:type="dxa"/>
            </w:tcMar>
          </w:tcPr>
          <w:p w14:paraId="1F155522"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Finish literature review, organize available data</w:t>
            </w:r>
          </w:p>
        </w:tc>
      </w:tr>
      <w:tr w:rsidR="00170E20" w:rsidRPr="00310524" w14:paraId="68410CCF" w14:textId="77777777">
        <w:tc>
          <w:tcPr>
            <w:tcW w:w="4680" w:type="dxa"/>
            <w:tcMar>
              <w:top w:w="100" w:type="dxa"/>
              <w:left w:w="100" w:type="dxa"/>
              <w:bottom w:w="100" w:type="dxa"/>
              <w:right w:w="100" w:type="dxa"/>
            </w:tcMar>
          </w:tcPr>
          <w:p w14:paraId="29FDB364"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Friday, June 2nd</w:t>
            </w:r>
          </w:p>
        </w:tc>
        <w:tc>
          <w:tcPr>
            <w:tcW w:w="4680" w:type="dxa"/>
            <w:tcMar>
              <w:top w:w="100" w:type="dxa"/>
              <w:left w:w="100" w:type="dxa"/>
              <w:bottom w:w="100" w:type="dxa"/>
              <w:right w:w="100" w:type="dxa"/>
            </w:tcMar>
          </w:tcPr>
          <w:p w14:paraId="04D7DCDF"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Finish all major designs of the website</w:t>
            </w:r>
          </w:p>
        </w:tc>
      </w:tr>
      <w:tr w:rsidR="00170E20" w:rsidRPr="00310524" w14:paraId="16E8CE55" w14:textId="77777777">
        <w:trPr>
          <w:trHeight w:val="720"/>
        </w:trPr>
        <w:tc>
          <w:tcPr>
            <w:tcW w:w="4680" w:type="dxa"/>
            <w:tcMar>
              <w:top w:w="100" w:type="dxa"/>
              <w:left w:w="100" w:type="dxa"/>
              <w:bottom w:w="100" w:type="dxa"/>
              <w:right w:w="100" w:type="dxa"/>
            </w:tcMar>
          </w:tcPr>
          <w:p w14:paraId="22954B13"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Thursday, May 18th</w:t>
            </w:r>
          </w:p>
        </w:tc>
        <w:tc>
          <w:tcPr>
            <w:tcW w:w="4680" w:type="dxa"/>
            <w:tcMar>
              <w:top w:w="100" w:type="dxa"/>
              <w:left w:w="100" w:type="dxa"/>
              <w:bottom w:w="100" w:type="dxa"/>
              <w:right w:w="100" w:type="dxa"/>
            </w:tcMar>
          </w:tcPr>
          <w:p w14:paraId="546DE4A1"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Field trips to interested areas and summarize findings</w:t>
            </w:r>
          </w:p>
        </w:tc>
      </w:tr>
    </w:tbl>
    <w:p w14:paraId="7C403E2F" w14:textId="77777777" w:rsidR="00170E20" w:rsidRPr="00310524" w:rsidRDefault="00170E20">
      <w:pPr>
        <w:rPr>
          <w:rFonts w:ascii="Times New Roman" w:eastAsia="Times New Roman" w:hAnsi="Times New Roman" w:cs="Times New Roman"/>
          <w:color w:val="222222"/>
          <w:sz w:val="24"/>
          <w:szCs w:val="24"/>
          <w:highlight w:val="white"/>
        </w:rPr>
      </w:pPr>
    </w:p>
    <w:p w14:paraId="479E90D4" w14:textId="77777777" w:rsidR="00170E20" w:rsidRPr="00310524" w:rsidRDefault="005D4F94">
      <w:pPr>
        <w:pStyle w:val="Heading2"/>
        <w:rPr>
          <w:rFonts w:ascii="Times New Roman" w:eastAsia="Times New Roman" w:hAnsi="Times New Roman" w:cs="Times New Roman"/>
          <w:color w:val="000000"/>
          <w:highlight w:val="white"/>
        </w:rPr>
      </w:pPr>
      <w:bookmarkStart w:id="31" w:name="_49x2ik5" w:colFirst="0" w:colLast="0"/>
      <w:bookmarkEnd w:id="31"/>
      <w:r w:rsidRPr="00310524">
        <w:rPr>
          <w:rFonts w:ascii="Times New Roman" w:eastAsia="Times New Roman" w:hAnsi="Times New Roman" w:cs="Times New Roman"/>
          <w:color w:val="000000"/>
          <w:highlight w:val="white"/>
        </w:rPr>
        <w:t>Fall Quarter 2017:</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E20" w:rsidRPr="00310524" w14:paraId="09C712AA" w14:textId="77777777">
        <w:tc>
          <w:tcPr>
            <w:tcW w:w="4680" w:type="dxa"/>
            <w:tcMar>
              <w:top w:w="100" w:type="dxa"/>
              <w:left w:w="100" w:type="dxa"/>
              <w:bottom w:w="100" w:type="dxa"/>
              <w:right w:w="100" w:type="dxa"/>
            </w:tcMar>
          </w:tcPr>
          <w:p w14:paraId="2926E351"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Monday, October 2nd</w:t>
            </w:r>
          </w:p>
        </w:tc>
        <w:tc>
          <w:tcPr>
            <w:tcW w:w="4680" w:type="dxa"/>
            <w:tcMar>
              <w:top w:w="100" w:type="dxa"/>
              <w:left w:w="100" w:type="dxa"/>
              <w:bottom w:w="100" w:type="dxa"/>
              <w:right w:w="100" w:type="dxa"/>
            </w:tcMar>
          </w:tcPr>
          <w:p w14:paraId="53EB6D25"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Progress Report submitted Faculty Advisor</w:t>
            </w:r>
          </w:p>
        </w:tc>
      </w:tr>
      <w:tr w:rsidR="00170E20" w:rsidRPr="00310524" w14:paraId="7425AA28" w14:textId="77777777">
        <w:tc>
          <w:tcPr>
            <w:tcW w:w="4680" w:type="dxa"/>
            <w:tcMar>
              <w:top w:w="100" w:type="dxa"/>
              <w:left w:w="100" w:type="dxa"/>
              <w:bottom w:w="100" w:type="dxa"/>
              <w:right w:w="100" w:type="dxa"/>
            </w:tcMar>
          </w:tcPr>
          <w:p w14:paraId="3523BEA7"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Thursday, October 19th</w:t>
            </w:r>
          </w:p>
        </w:tc>
        <w:tc>
          <w:tcPr>
            <w:tcW w:w="4680" w:type="dxa"/>
            <w:tcMar>
              <w:top w:w="100" w:type="dxa"/>
              <w:left w:w="100" w:type="dxa"/>
              <w:bottom w:w="100" w:type="dxa"/>
              <w:right w:w="100" w:type="dxa"/>
            </w:tcMar>
          </w:tcPr>
          <w:p w14:paraId="3755DDAB"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Take samples in fields, investigation &amp; analysis on samplings </w:t>
            </w:r>
          </w:p>
        </w:tc>
      </w:tr>
    </w:tbl>
    <w:p w14:paraId="63FDB3D8" w14:textId="77777777" w:rsidR="00170E20" w:rsidRPr="00310524" w:rsidRDefault="00170E20">
      <w:pPr>
        <w:rPr>
          <w:rFonts w:ascii="Times New Roman" w:eastAsia="Times New Roman" w:hAnsi="Times New Roman" w:cs="Times New Roman"/>
          <w:color w:val="222222"/>
          <w:sz w:val="24"/>
          <w:szCs w:val="24"/>
          <w:highlight w:val="white"/>
        </w:rPr>
      </w:pPr>
    </w:p>
    <w:p w14:paraId="16E9544A" w14:textId="77777777" w:rsidR="00170E20" w:rsidRPr="00310524" w:rsidRDefault="005D4F94">
      <w:pPr>
        <w:pStyle w:val="Heading2"/>
        <w:rPr>
          <w:rFonts w:ascii="Times New Roman" w:eastAsia="Times New Roman" w:hAnsi="Times New Roman" w:cs="Times New Roman"/>
        </w:rPr>
      </w:pPr>
      <w:bookmarkStart w:id="32" w:name="_2p2csry" w:colFirst="0" w:colLast="0"/>
      <w:bookmarkEnd w:id="32"/>
      <w:r w:rsidRPr="00310524">
        <w:rPr>
          <w:rFonts w:ascii="Times New Roman" w:eastAsia="Times New Roman" w:hAnsi="Times New Roman" w:cs="Times New Roman"/>
        </w:rPr>
        <w:t>Winter Quarter 2018:</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E20" w:rsidRPr="00310524" w14:paraId="7FC5E8EA" w14:textId="77777777">
        <w:tc>
          <w:tcPr>
            <w:tcW w:w="4680" w:type="dxa"/>
            <w:tcMar>
              <w:top w:w="100" w:type="dxa"/>
              <w:left w:w="100" w:type="dxa"/>
              <w:bottom w:w="100" w:type="dxa"/>
              <w:right w:w="100" w:type="dxa"/>
            </w:tcMar>
          </w:tcPr>
          <w:p w14:paraId="1053672A"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Monday, February 12th</w:t>
            </w:r>
          </w:p>
        </w:tc>
        <w:tc>
          <w:tcPr>
            <w:tcW w:w="4680" w:type="dxa"/>
            <w:tcMar>
              <w:top w:w="100" w:type="dxa"/>
              <w:left w:w="100" w:type="dxa"/>
              <w:bottom w:w="100" w:type="dxa"/>
              <w:right w:w="100" w:type="dxa"/>
            </w:tcMar>
          </w:tcPr>
          <w:p w14:paraId="6AA96649"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Draft of Final Report submitted to Faculty Advisor</w:t>
            </w:r>
          </w:p>
        </w:tc>
      </w:tr>
      <w:tr w:rsidR="00170E20" w:rsidRPr="00310524" w14:paraId="62CA7214" w14:textId="77777777">
        <w:tc>
          <w:tcPr>
            <w:tcW w:w="4680" w:type="dxa"/>
            <w:tcMar>
              <w:top w:w="100" w:type="dxa"/>
              <w:left w:w="100" w:type="dxa"/>
              <w:bottom w:w="100" w:type="dxa"/>
              <w:right w:w="100" w:type="dxa"/>
            </w:tcMar>
          </w:tcPr>
          <w:p w14:paraId="66855683"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Early March</w:t>
            </w:r>
          </w:p>
        </w:tc>
        <w:tc>
          <w:tcPr>
            <w:tcW w:w="4680" w:type="dxa"/>
            <w:tcMar>
              <w:top w:w="100" w:type="dxa"/>
              <w:left w:w="100" w:type="dxa"/>
              <w:bottom w:w="100" w:type="dxa"/>
              <w:right w:w="100" w:type="dxa"/>
            </w:tcMar>
          </w:tcPr>
          <w:p w14:paraId="2454C306"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Project Defense</w:t>
            </w:r>
          </w:p>
        </w:tc>
      </w:tr>
      <w:tr w:rsidR="00170E20" w:rsidRPr="00310524" w14:paraId="6546A2BB" w14:textId="77777777">
        <w:tc>
          <w:tcPr>
            <w:tcW w:w="4680" w:type="dxa"/>
            <w:tcMar>
              <w:top w:w="100" w:type="dxa"/>
              <w:left w:w="100" w:type="dxa"/>
              <w:bottom w:w="100" w:type="dxa"/>
              <w:right w:w="100" w:type="dxa"/>
            </w:tcMar>
          </w:tcPr>
          <w:p w14:paraId="0B874C40"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Late March</w:t>
            </w:r>
          </w:p>
        </w:tc>
        <w:tc>
          <w:tcPr>
            <w:tcW w:w="4680" w:type="dxa"/>
            <w:tcMar>
              <w:top w:w="100" w:type="dxa"/>
              <w:left w:w="100" w:type="dxa"/>
              <w:bottom w:w="100" w:type="dxa"/>
              <w:right w:w="100" w:type="dxa"/>
            </w:tcMar>
          </w:tcPr>
          <w:p w14:paraId="6084E4B3"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Final Report submitted to GP Coordinator</w:t>
            </w:r>
          </w:p>
        </w:tc>
      </w:tr>
    </w:tbl>
    <w:p w14:paraId="61DDDBDD" w14:textId="77777777" w:rsidR="00170E20" w:rsidRPr="00310524" w:rsidRDefault="00170E20">
      <w:pPr>
        <w:spacing w:line="240" w:lineRule="auto"/>
        <w:rPr>
          <w:rFonts w:ascii="Times New Roman" w:eastAsia="Times New Roman" w:hAnsi="Times New Roman" w:cs="Times New Roman"/>
          <w:color w:val="222222"/>
          <w:sz w:val="24"/>
          <w:szCs w:val="24"/>
          <w:highlight w:val="white"/>
        </w:rPr>
      </w:pPr>
    </w:p>
    <w:p w14:paraId="174897C3" w14:textId="77777777" w:rsidR="00170E20" w:rsidRPr="00310524" w:rsidRDefault="005D4F94">
      <w:pPr>
        <w:pStyle w:val="Heading2"/>
        <w:rPr>
          <w:rFonts w:ascii="Times New Roman" w:eastAsia="Times New Roman" w:hAnsi="Times New Roman" w:cs="Times New Roman"/>
          <w:color w:val="000000"/>
          <w:highlight w:val="white"/>
        </w:rPr>
      </w:pPr>
      <w:bookmarkStart w:id="33" w:name="_147n2zr" w:colFirst="0" w:colLast="0"/>
      <w:bookmarkEnd w:id="33"/>
      <w:r w:rsidRPr="00310524">
        <w:rPr>
          <w:rFonts w:ascii="Times New Roman" w:eastAsia="Times New Roman" w:hAnsi="Times New Roman" w:cs="Times New Roman"/>
          <w:color w:val="000000"/>
          <w:highlight w:val="white"/>
        </w:rPr>
        <w:lastRenderedPageBreak/>
        <w:t>Spring Quarter 2018:</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70E20" w:rsidRPr="00310524" w14:paraId="2FB66C3E" w14:textId="77777777">
        <w:tc>
          <w:tcPr>
            <w:tcW w:w="4680" w:type="dxa"/>
            <w:tcMar>
              <w:top w:w="100" w:type="dxa"/>
              <w:left w:w="100" w:type="dxa"/>
              <w:bottom w:w="100" w:type="dxa"/>
              <w:right w:w="100" w:type="dxa"/>
            </w:tcMar>
          </w:tcPr>
          <w:p w14:paraId="56F2CB96"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April</w:t>
            </w:r>
          </w:p>
        </w:tc>
        <w:tc>
          <w:tcPr>
            <w:tcW w:w="4680" w:type="dxa"/>
            <w:tcMar>
              <w:top w:w="100" w:type="dxa"/>
              <w:left w:w="100" w:type="dxa"/>
              <w:bottom w:w="100" w:type="dxa"/>
              <w:right w:w="100" w:type="dxa"/>
            </w:tcMar>
          </w:tcPr>
          <w:p w14:paraId="3B7918BA"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Presentation of Project to the Public</w:t>
            </w:r>
          </w:p>
        </w:tc>
      </w:tr>
      <w:tr w:rsidR="00170E20" w:rsidRPr="00310524" w14:paraId="4F50DCA9" w14:textId="77777777">
        <w:tc>
          <w:tcPr>
            <w:tcW w:w="4680" w:type="dxa"/>
            <w:tcMar>
              <w:top w:w="100" w:type="dxa"/>
              <w:left w:w="100" w:type="dxa"/>
              <w:bottom w:w="100" w:type="dxa"/>
              <w:right w:w="100" w:type="dxa"/>
            </w:tcMar>
          </w:tcPr>
          <w:p w14:paraId="046343BE"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May</w:t>
            </w:r>
          </w:p>
        </w:tc>
        <w:tc>
          <w:tcPr>
            <w:tcW w:w="4680" w:type="dxa"/>
            <w:tcMar>
              <w:top w:w="100" w:type="dxa"/>
              <w:left w:w="100" w:type="dxa"/>
              <w:bottom w:w="100" w:type="dxa"/>
              <w:right w:w="100" w:type="dxa"/>
            </w:tcMar>
          </w:tcPr>
          <w:p w14:paraId="6F2A92DB" w14:textId="77777777" w:rsidR="00170E20" w:rsidRPr="00310524" w:rsidRDefault="005D4F94">
            <w:pPr>
              <w:spacing w:line="240" w:lineRule="auto"/>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Recommendations submitted to Client</w:t>
            </w:r>
          </w:p>
        </w:tc>
      </w:tr>
    </w:tbl>
    <w:p w14:paraId="6C2E1808" w14:textId="77777777" w:rsidR="00170E20" w:rsidRPr="00310524" w:rsidRDefault="00170E20">
      <w:pPr>
        <w:rPr>
          <w:rFonts w:ascii="Times New Roman" w:eastAsia="Times New Roman" w:hAnsi="Times New Roman" w:cs="Times New Roman"/>
          <w:highlight w:val="white"/>
        </w:rPr>
      </w:pPr>
      <w:bookmarkStart w:id="34" w:name="_3o7alnk" w:colFirst="0" w:colLast="0"/>
      <w:bookmarkEnd w:id="34"/>
    </w:p>
    <w:p w14:paraId="3F5CE68A" w14:textId="77777777" w:rsidR="00081FCD" w:rsidRPr="00310524" w:rsidRDefault="00081FCD" w:rsidP="00081FCD">
      <w:pPr>
        <w:pStyle w:val="Heading1"/>
        <w:rPr>
          <w:rFonts w:ascii="Times New Roman" w:hAnsi="Times New Roman" w:cs="Times New Roman"/>
        </w:rPr>
      </w:pPr>
      <w:bookmarkStart w:id="35" w:name="_23ckvvd" w:colFirst="0" w:colLast="0"/>
      <w:bookmarkEnd w:id="35"/>
      <w:r w:rsidRPr="00310524">
        <w:rPr>
          <w:rFonts w:ascii="Times New Roman" w:hAnsi="Times New Roman" w:cs="Times New Roman"/>
        </w:rPr>
        <w:t xml:space="preserve">10.  Management Plan </w:t>
      </w:r>
    </w:p>
    <w:p w14:paraId="6A050AE1" w14:textId="77777777" w:rsidR="00081FCD" w:rsidRPr="00310524" w:rsidRDefault="00081FCD" w:rsidP="00081FCD">
      <w:pPr>
        <w:rPr>
          <w:rFonts w:ascii="Times New Roman" w:hAnsi="Times New Roman" w:cs="Times New Roman"/>
        </w:rPr>
      </w:pPr>
    </w:p>
    <w:p w14:paraId="5E7F5644" w14:textId="77777777" w:rsidR="00170E20" w:rsidRPr="00310524" w:rsidRDefault="005D4F94">
      <w:pPr>
        <w:pStyle w:val="Heading2"/>
        <w:rPr>
          <w:rFonts w:ascii="Times New Roman" w:eastAsia="Times New Roman" w:hAnsi="Times New Roman" w:cs="Times New Roman"/>
        </w:rPr>
      </w:pPr>
      <w:r w:rsidRPr="00310524">
        <w:rPr>
          <w:rFonts w:ascii="Times New Roman" w:eastAsia="Times New Roman" w:hAnsi="Times New Roman" w:cs="Times New Roman"/>
        </w:rPr>
        <w:t>Group Member Roles &amp; Responsibilities:</w:t>
      </w:r>
    </w:p>
    <w:tbl>
      <w:tblPr>
        <w:tblStyle w:val="a4"/>
        <w:tblW w:w="882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0"/>
        <w:gridCol w:w="2925"/>
        <w:gridCol w:w="2985"/>
      </w:tblGrid>
      <w:tr w:rsidR="00170E20" w:rsidRPr="00310524" w14:paraId="0D537A60" w14:textId="77777777">
        <w:trPr>
          <w:trHeight w:val="820"/>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D6A8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Role</w:t>
            </w:r>
          </w:p>
        </w:tc>
        <w:tc>
          <w:tcPr>
            <w:tcW w:w="29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18DD374"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Name</w:t>
            </w:r>
          </w:p>
        </w:tc>
        <w:tc>
          <w:tcPr>
            <w:tcW w:w="2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8F5EB5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Responsibilities</w:t>
            </w:r>
          </w:p>
        </w:tc>
      </w:tr>
      <w:tr w:rsidR="00170E20" w:rsidRPr="00310524" w14:paraId="1AFEE2CC" w14:textId="77777777">
        <w:trPr>
          <w:trHeight w:val="820"/>
        </w:trPr>
        <w:tc>
          <w:tcPr>
            <w:tcW w:w="29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8A66DA"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Faculty Advisor</w:t>
            </w:r>
          </w:p>
        </w:tc>
        <w:tc>
          <w:tcPr>
            <w:tcW w:w="2925" w:type="dxa"/>
            <w:tcBorders>
              <w:bottom w:val="single" w:sz="8" w:space="0" w:color="000000"/>
              <w:right w:val="single" w:sz="8" w:space="0" w:color="000000"/>
            </w:tcBorders>
            <w:tcMar>
              <w:top w:w="100" w:type="dxa"/>
              <w:left w:w="100" w:type="dxa"/>
              <w:bottom w:w="100" w:type="dxa"/>
              <w:right w:w="100" w:type="dxa"/>
            </w:tcMar>
          </w:tcPr>
          <w:p w14:paraId="169898F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Arturo Keller</w:t>
            </w:r>
          </w:p>
          <w:p w14:paraId="7730A7B9" w14:textId="77777777" w:rsidR="00170E20" w:rsidRPr="00310524" w:rsidRDefault="00170E20">
            <w:pPr>
              <w:rPr>
                <w:rFonts w:ascii="Times New Roman" w:eastAsia="Times New Roman" w:hAnsi="Times New Roman" w:cs="Times New Roman"/>
                <w:sz w:val="24"/>
                <w:szCs w:val="24"/>
              </w:rPr>
            </w:pPr>
          </w:p>
        </w:tc>
        <w:tc>
          <w:tcPr>
            <w:tcW w:w="2985" w:type="dxa"/>
            <w:tcBorders>
              <w:bottom w:val="single" w:sz="8" w:space="0" w:color="000000"/>
              <w:right w:val="single" w:sz="8" w:space="0" w:color="000000"/>
            </w:tcBorders>
            <w:tcMar>
              <w:top w:w="100" w:type="dxa"/>
              <w:left w:w="100" w:type="dxa"/>
              <w:bottom w:w="100" w:type="dxa"/>
              <w:right w:w="100" w:type="dxa"/>
            </w:tcMar>
          </w:tcPr>
          <w:p w14:paraId="209F514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Meet weekly with students &amp; attend review meeting; Provide feedbacks and assign grades to students</w:t>
            </w:r>
          </w:p>
        </w:tc>
      </w:tr>
      <w:tr w:rsidR="00170E20" w:rsidRPr="00310524" w14:paraId="19DABF1E" w14:textId="77777777">
        <w:trPr>
          <w:trHeight w:val="820"/>
        </w:trPr>
        <w:tc>
          <w:tcPr>
            <w:tcW w:w="29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4F6E32"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External Advisor</w:t>
            </w:r>
          </w:p>
        </w:tc>
        <w:tc>
          <w:tcPr>
            <w:tcW w:w="2925" w:type="dxa"/>
            <w:tcBorders>
              <w:bottom w:val="single" w:sz="8" w:space="0" w:color="000000"/>
              <w:right w:val="single" w:sz="8" w:space="0" w:color="000000"/>
            </w:tcBorders>
            <w:tcMar>
              <w:top w:w="100" w:type="dxa"/>
              <w:left w:w="100" w:type="dxa"/>
              <w:bottom w:w="100" w:type="dxa"/>
              <w:right w:w="100" w:type="dxa"/>
            </w:tcMar>
          </w:tcPr>
          <w:p w14:paraId="654355F2"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Lindsay Griffin</w:t>
            </w:r>
          </w:p>
          <w:p w14:paraId="63450053" w14:textId="77777777" w:rsidR="00170E20" w:rsidRPr="00310524" w:rsidRDefault="00170E20">
            <w:pPr>
              <w:rPr>
                <w:rFonts w:ascii="Times New Roman" w:eastAsia="Times New Roman" w:hAnsi="Times New Roman" w:cs="Times New Roman"/>
                <w:sz w:val="24"/>
                <w:szCs w:val="24"/>
              </w:rPr>
            </w:pPr>
          </w:p>
        </w:tc>
        <w:tc>
          <w:tcPr>
            <w:tcW w:w="2985" w:type="dxa"/>
            <w:tcBorders>
              <w:bottom w:val="single" w:sz="8" w:space="0" w:color="000000"/>
              <w:right w:val="single" w:sz="8" w:space="0" w:color="000000"/>
            </w:tcBorders>
            <w:tcMar>
              <w:top w:w="100" w:type="dxa"/>
              <w:left w:w="100" w:type="dxa"/>
              <w:bottom w:w="100" w:type="dxa"/>
              <w:right w:w="100" w:type="dxa"/>
            </w:tcMar>
          </w:tcPr>
          <w:p w14:paraId="692A6111"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Attend spring and fall review meeting &amp; give feedbacks on final report or other deliverables</w:t>
            </w:r>
          </w:p>
        </w:tc>
      </w:tr>
      <w:tr w:rsidR="00170E20" w:rsidRPr="00310524" w14:paraId="0B2416E7" w14:textId="77777777">
        <w:trPr>
          <w:trHeight w:val="820"/>
        </w:trPr>
        <w:tc>
          <w:tcPr>
            <w:tcW w:w="29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7E291A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Project Manager</w:t>
            </w:r>
          </w:p>
        </w:tc>
        <w:tc>
          <w:tcPr>
            <w:tcW w:w="2925" w:type="dxa"/>
            <w:tcBorders>
              <w:bottom w:val="single" w:sz="8" w:space="0" w:color="000000"/>
              <w:right w:val="single" w:sz="8" w:space="0" w:color="000000"/>
            </w:tcBorders>
            <w:tcMar>
              <w:top w:w="100" w:type="dxa"/>
              <w:left w:w="100" w:type="dxa"/>
              <w:bottom w:w="100" w:type="dxa"/>
              <w:right w:w="100" w:type="dxa"/>
            </w:tcMar>
          </w:tcPr>
          <w:p w14:paraId="49F99C03"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Alexander Prescott</w:t>
            </w:r>
          </w:p>
        </w:tc>
        <w:tc>
          <w:tcPr>
            <w:tcW w:w="2985" w:type="dxa"/>
            <w:tcBorders>
              <w:bottom w:val="single" w:sz="8" w:space="0" w:color="000000"/>
              <w:right w:val="single" w:sz="8" w:space="0" w:color="000000"/>
            </w:tcBorders>
            <w:tcMar>
              <w:top w:w="100" w:type="dxa"/>
              <w:left w:w="100" w:type="dxa"/>
              <w:bottom w:w="100" w:type="dxa"/>
              <w:right w:w="100" w:type="dxa"/>
            </w:tcMar>
          </w:tcPr>
          <w:p w14:paraId="07E306B8"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Compile meeting agendas; </w:t>
            </w:r>
          </w:p>
          <w:p w14:paraId="2B857C57"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Ensure the work is divided up among group</w:t>
            </w:r>
          </w:p>
          <w:p w14:paraId="3AFFD1A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members &amp; completed on time; Resolve group</w:t>
            </w:r>
          </w:p>
          <w:p w14:paraId="0319AD9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conflicts; Assure that Project Objectives are met</w:t>
            </w:r>
          </w:p>
        </w:tc>
      </w:tr>
      <w:tr w:rsidR="00170E20" w:rsidRPr="00310524" w14:paraId="443DF8A4" w14:textId="77777777">
        <w:trPr>
          <w:trHeight w:val="1480"/>
        </w:trPr>
        <w:tc>
          <w:tcPr>
            <w:tcW w:w="29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8F4822"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Data Managers</w:t>
            </w:r>
          </w:p>
        </w:tc>
        <w:tc>
          <w:tcPr>
            <w:tcW w:w="2925" w:type="dxa"/>
            <w:tcBorders>
              <w:bottom w:val="single" w:sz="8" w:space="0" w:color="000000"/>
              <w:right w:val="single" w:sz="8" w:space="0" w:color="000000"/>
            </w:tcBorders>
            <w:tcMar>
              <w:top w:w="100" w:type="dxa"/>
              <w:left w:w="100" w:type="dxa"/>
              <w:bottom w:w="100" w:type="dxa"/>
              <w:right w:w="100" w:type="dxa"/>
            </w:tcMar>
          </w:tcPr>
          <w:p w14:paraId="4DCEEAE7"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Michael Patton, Natalie Shahbol</w:t>
            </w:r>
          </w:p>
        </w:tc>
        <w:tc>
          <w:tcPr>
            <w:tcW w:w="2985" w:type="dxa"/>
            <w:tcBorders>
              <w:bottom w:val="single" w:sz="8" w:space="0" w:color="000000"/>
              <w:right w:val="single" w:sz="8" w:space="0" w:color="000000"/>
            </w:tcBorders>
            <w:tcMar>
              <w:top w:w="100" w:type="dxa"/>
              <w:left w:w="100" w:type="dxa"/>
              <w:bottom w:w="100" w:type="dxa"/>
              <w:right w:w="100" w:type="dxa"/>
            </w:tcMar>
          </w:tcPr>
          <w:p w14:paraId="16167119"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Assure that all data provided by client &amp;</w:t>
            </w:r>
          </w:p>
          <w:p w14:paraId="75FD931C"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collected by group is organized &amp; easily</w:t>
            </w:r>
          </w:p>
          <w:p w14:paraId="1C01A0D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accessible in Google Drive; Resolve data</w:t>
            </w:r>
          </w:p>
          <w:p w14:paraId="05853CB1"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management issues</w:t>
            </w:r>
          </w:p>
          <w:p w14:paraId="6376162F" w14:textId="77777777" w:rsidR="00170E20" w:rsidRPr="00310524" w:rsidRDefault="00170E20">
            <w:pPr>
              <w:rPr>
                <w:rFonts w:ascii="Times New Roman" w:eastAsia="Times New Roman" w:hAnsi="Times New Roman" w:cs="Times New Roman"/>
                <w:sz w:val="24"/>
                <w:szCs w:val="24"/>
              </w:rPr>
            </w:pPr>
          </w:p>
        </w:tc>
      </w:tr>
      <w:tr w:rsidR="00170E20" w:rsidRPr="00310524" w14:paraId="674FFDE4" w14:textId="77777777">
        <w:trPr>
          <w:trHeight w:val="820"/>
        </w:trPr>
        <w:tc>
          <w:tcPr>
            <w:tcW w:w="29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878972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Financial Manager</w:t>
            </w:r>
          </w:p>
        </w:tc>
        <w:tc>
          <w:tcPr>
            <w:tcW w:w="2925" w:type="dxa"/>
            <w:tcBorders>
              <w:bottom w:val="single" w:sz="8" w:space="0" w:color="000000"/>
              <w:right w:val="single" w:sz="8" w:space="0" w:color="000000"/>
            </w:tcBorders>
            <w:tcMar>
              <w:top w:w="100" w:type="dxa"/>
              <w:left w:w="100" w:type="dxa"/>
              <w:bottom w:w="100" w:type="dxa"/>
              <w:right w:w="100" w:type="dxa"/>
            </w:tcMar>
          </w:tcPr>
          <w:p w14:paraId="654C6CE4"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Chester Lindley</w:t>
            </w:r>
          </w:p>
        </w:tc>
        <w:tc>
          <w:tcPr>
            <w:tcW w:w="2985" w:type="dxa"/>
            <w:tcBorders>
              <w:bottom w:val="single" w:sz="8" w:space="0" w:color="000000"/>
              <w:right w:val="single" w:sz="8" w:space="0" w:color="000000"/>
            </w:tcBorders>
            <w:tcMar>
              <w:top w:w="100" w:type="dxa"/>
              <w:left w:w="100" w:type="dxa"/>
              <w:bottom w:w="100" w:type="dxa"/>
              <w:right w:w="100" w:type="dxa"/>
            </w:tcMar>
          </w:tcPr>
          <w:p w14:paraId="3FFA54F9"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Compile project budget; Maintain records of group spending; Recommend strategies</w:t>
            </w:r>
          </w:p>
          <w:p w14:paraId="019AAEC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that will help adhere to budget</w:t>
            </w:r>
          </w:p>
          <w:p w14:paraId="262EAA82" w14:textId="77777777" w:rsidR="00170E20" w:rsidRPr="00310524" w:rsidRDefault="00170E20">
            <w:pPr>
              <w:rPr>
                <w:rFonts w:ascii="Times New Roman" w:eastAsia="Times New Roman" w:hAnsi="Times New Roman" w:cs="Times New Roman"/>
                <w:sz w:val="24"/>
                <w:szCs w:val="24"/>
              </w:rPr>
            </w:pPr>
          </w:p>
        </w:tc>
      </w:tr>
      <w:tr w:rsidR="00170E20" w:rsidRPr="00310524" w14:paraId="04A347C8" w14:textId="77777777">
        <w:trPr>
          <w:trHeight w:val="820"/>
        </w:trPr>
        <w:tc>
          <w:tcPr>
            <w:tcW w:w="29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CBEFC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Outreach Manager</w:t>
            </w:r>
          </w:p>
        </w:tc>
        <w:tc>
          <w:tcPr>
            <w:tcW w:w="2925" w:type="dxa"/>
            <w:tcBorders>
              <w:bottom w:val="single" w:sz="8" w:space="0" w:color="000000"/>
              <w:right w:val="single" w:sz="8" w:space="0" w:color="000000"/>
            </w:tcBorders>
            <w:tcMar>
              <w:top w:w="100" w:type="dxa"/>
              <w:left w:w="100" w:type="dxa"/>
              <w:bottom w:w="100" w:type="dxa"/>
              <w:right w:w="100" w:type="dxa"/>
            </w:tcMar>
          </w:tcPr>
          <w:p w14:paraId="64BB7711" w14:textId="77777777" w:rsidR="00170E20" w:rsidRPr="00310524" w:rsidRDefault="005D4F94">
            <w:pPr>
              <w:rPr>
                <w:rFonts w:ascii="Times New Roman" w:eastAsia="Times New Roman" w:hAnsi="Times New Roman" w:cs="Times New Roman"/>
                <w:sz w:val="24"/>
                <w:szCs w:val="24"/>
              </w:rPr>
            </w:pPr>
            <w:proofErr w:type="spellStart"/>
            <w:r w:rsidRPr="00310524">
              <w:rPr>
                <w:rFonts w:ascii="Times New Roman" w:eastAsia="Times New Roman" w:hAnsi="Times New Roman" w:cs="Times New Roman"/>
                <w:sz w:val="24"/>
                <w:szCs w:val="24"/>
              </w:rPr>
              <w:t>Jia</w:t>
            </w:r>
            <w:proofErr w:type="spellEnd"/>
            <w:r w:rsidRPr="00310524">
              <w:rPr>
                <w:rFonts w:ascii="Times New Roman" w:eastAsia="Times New Roman" w:hAnsi="Times New Roman" w:cs="Times New Roman"/>
                <w:sz w:val="24"/>
                <w:szCs w:val="24"/>
              </w:rPr>
              <w:t xml:space="preserve"> Liu</w:t>
            </w:r>
          </w:p>
        </w:tc>
        <w:tc>
          <w:tcPr>
            <w:tcW w:w="2985" w:type="dxa"/>
            <w:tcBorders>
              <w:bottom w:val="single" w:sz="8" w:space="0" w:color="000000"/>
              <w:right w:val="single" w:sz="8" w:space="0" w:color="000000"/>
            </w:tcBorders>
            <w:tcMar>
              <w:top w:w="100" w:type="dxa"/>
              <w:left w:w="100" w:type="dxa"/>
              <w:bottom w:w="100" w:type="dxa"/>
              <w:right w:w="100" w:type="dxa"/>
            </w:tcMar>
          </w:tcPr>
          <w:p w14:paraId="06D3C117"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Create, update, and maintain group website</w:t>
            </w:r>
          </w:p>
        </w:tc>
      </w:tr>
    </w:tbl>
    <w:p w14:paraId="07056E85" w14:textId="77777777" w:rsidR="00170E20" w:rsidRPr="00310524" w:rsidRDefault="00170E20">
      <w:pPr>
        <w:rPr>
          <w:rFonts w:ascii="Times New Roman" w:eastAsia="Times New Roman" w:hAnsi="Times New Roman" w:cs="Times New Roman"/>
          <w:sz w:val="24"/>
          <w:szCs w:val="24"/>
        </w:rPr>
      </w:pPr>
    </w:p>
    <w:p w14:paraId="766D93E5" w14:textId="77777777" w:rsidR="00170E20" w:rsidRPr="00310524" w:rsidRDefault="005D4F94">
      <w:pPr>
        <w:pStyle w:val="Heading3"/>
        <w:ind w:firstLine="720"/>
        <w:rPr>
          <w:rFonts w:ascii="Times New Roman" w:eastAsia="Times New Roman" w:hAnsi="Times New Roman" w:cs="Times New Roman"/>
          <w:i/>
        </w:rPr>
      </w:pPr>
      <w:r w:rsidRPr="00310524">
        <w:rPr>
          <w:rFonts w:ascii="Times New Roman" w:eastAsia="Times New Roman" w:hAnsi="Times New Roman" w:cs="Times New Roman"/>
          <w:i/>
        </w:rPr>
        <w:t>Meeting Structures</w:t>
      </w:r>
    </w:p>
    <w:p w14:paraId="64CF9F24"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Meetings for the spring quarter will be bi-weekly, a student only meeting on Monday’s at noon, and a meeting with Arturo Keller at 5pm. Meeting times are subject to change and will likely do so in the coming quarters as schedules change due to course offerings.  Meeting times will be chosen to facilitate optimum attendance and productivity. For all meetings Alexander will reserve a meeting room and outline the action items. Natalie will take the notes and make them available for the team immediately following the meetings. The project manager will also lead the discussion, calling on members to summarize their findings and ensure all task items are addressed in a timely manner.</w:t>
      </w:r>
    </w:p>
    <w:p w14:paraId="0C191819" w14:textId="77777777" w:rsidR="00170E20" w:rsidRPr="00310524" w:rsidRDefault="00170E20">
      <w:pPr>
        <w:rPr>
          <w:rFonts w:ascii="Times New Roman" w:eastAsia="Times New Roman" w:hAnsi="Times New Roman" w:cs="Times New Roman"/>
          <w:sz w:val="24"/>
          <w:szCs w:val="24"/>
        </w:rPr>
      </w:pPr>
    </w:p>
    <w:p w14:paraId="39BE3FC3" w14:textId="77777777" w:rsidR="00170E20" w:rsidRPr="00310524" w:rsidRDefault="005D4F94">
      <w:pPr>
        <w:ind w:firstLine="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Interacting with clients, faculty advisor, and external advisors</w:t>
      </w:r>
    </w:p>
    <w:p w14:paraId="52A0FD0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Meetings with faculty advisor are on Mondays at 5pm for Spring Quarter 2017. Alexander will summarize any relevant updates with questions collected from other group members and report them to faculty advisor. Feedback from faculty advisor will be considered to improve the group work through the next week. Clients will provide any accessible data and contact information related to the project. Meetings with clients are scheduled through email. Drafts and finalized reports/deliverables will be submitted to clients for their review. Meetings will be held quarterly or bi-quarterly to facilitate good communication.  External advisors are contacted mainly through emails and phone calls when appropriate. Additional meetings with external advisors, academic advisors, or clients may be scheduled by Alexander if necessary.</w:t>
      </w:r>
    </w:p>
    <w:p w14:paraId="05179936" w14:textId="77777777" w:rsidR="00170E20" w:rsidRPr="00310524" w:rsidRDefault="00170E20">
      <w:pPr>
        <w:rPr>
          <w:rFonts w:ascii="Times New Roman" w:eastAsia="Times New Roman" w:hAnsi="Times New Roman" w:cs="Times New Roman"/>
          <w:sz w:val="24"/>
          <w:szCs w:val="24"/>
        </w:rPr>
      </w:pPr>
    </w:p>
    <w:p w14:paraId="755D71C6" w14:textId="77777777" w:rsidR="00170E20" w:rsidRPr="00310524" w:rsidRDefault="005D4F94">
      <w:pPr>
        <w:ind w:firstLine="720"/>
        <w:rPr>
          <w:rFonts w:ascii="Times New Roman" w:eastAsia="Times New Roman" w:hAnsi="Times New Roman" w:cs="Times New Roman"/>
          <w:i/>
          <w:color w:val="1E4D78"/>
          <w:sz w:val="24"/>
          <w:szCs w:val="24"/>
        </w:rPr>
      </w:pPr>
      <w:r w:rsidRPr="00310524">
        <w:rPr>
          <w:rFonts w:ascii="Times New Roman" w:eastAsia="Times New Roman" w:hAnsi="Times New Roman" w:cs="Times New Roman"/>
          <w:i/>
          <w:color w:val="1E4D78"/>
          <w:sz w:val="24"/>
          <w:szCs w:val="24"/>
        </w:rPr>
        <w:t>Procedures for documenting, cataloging and achieving information</w:t>
      </w:r>
    </w:p>
    <w:p w14:paraId="1CE2ABD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All documents are cataloged into folders with a descriptive name on Google Drive. Data managers are responsible for updating and filing data downloaded from various platforms. Data are filed into folders by the source. Each group member compiles a document that summarize the findings from literature reviews. Links or full documents of references are shared within the group. The Goby team has also been provided access to an on-campus UCSB Bren shared drive, to hold the team’s documents, data, and software.</w:t>
      </w:r>
    </w:p>
    <w:p w14:paraId="3EE85610" w14:textId="77777777" w:rsidR="00170E20" w:rsidRPr="00310524" w:rsidRDefault="00170E20">
      <w:pPr>
        <w:rPr>
          <w:rFonts w:ascii="Times New Roman" w:eastAsia="Times New Roman" w:hAnsi="Times New Roman" w:cs="Times New Roman"/>
          <w:i/>
          <w:sz w:val="24"/>
          <w:szCs w:val="24"/>
        </w:rPr>
      </w:pPr>
    </w:p>
    <w:p w14:paraId="723A8BA9" w14:textId="77777777" w:rsidR="00170E20" w:rsidRPr="00310524" w:rsidRDefault="005D4F94">
      <w:pPr>
        <w:pStyle w:val="Heading3"/>
        <w:ind w:firstLine="720"/>
        <w:rPr>
          <w:rFonts w:ascii="Times New Roman" w:eastAsia="Times New Roman" w:hAnsi="Times New Roman" w:cs="Times New Roman"/>
          <w:i/>
        </w:rPr>
      </w:pPr>
      <w:r w:rsidRPr="00310524">
        <w:rPr>
          <w:rFonts w:ascii="Times New Roman" w:eastAsia="Times New Roman" w:hAnsi="Times New Roman" w:cs="Times New Roman"/>
          <w:i/>
        </w:rPr>
        <w:t>Group Member Expectations</w:t>
      </w:r>
    </w:p>
    <w:p w14:paraId="4B0CC928"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All group members are expected to adhere to the following guidelines:</w:t>
      </w:r>
    </w:p>
    <w:p w14:paraId="448DD9A0" w14:textId="77777777" w:rsidR="00170E20" w:rsidRPr="00310524" w:rsidRDefault="005D4F94">
      <w:pPr>
        <w:numPr>
          <w:ilvl w:val="0"/>
          <w:numId w:val="1"/>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Attend and participate in all group meetings, allowing for properly communicated conflicts.</w:t>
      </w:r>
    </w:p>
    <w:p w14:paraId="10E29DA7" w14:textId="77777777" w:rsidR="00170E20" w:rsidRPr="00310524" w:rsidRDefault="005D4F94">
      <w:pPr>
        <w:numPr>
          <w:ilvl w:val="0"/>
          <w:numId w:val="1"/>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Complete all assigned tasks by their respective deadlines, and will alert other group members if the work will not be completed by the due date</w:t>
      </w:r>
    </w:p>
    <w:p w14:paraId="60C6D0EE" w14:textId="77777777" w:rsidR="00170E20" w:rsidRPr="00310524" w:rsidRDefault="005D4F94">
      <w:pPr>
        <w:numPr>
          <w:ilvl w:val="0"/>
          <w:numId w:val="1"/>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Respond positively and professionally to clients, advisors, or other people associated with the project to promote good working relationships. </w:t>
      </w:r>
    </w:p>
    <w:p w14:paraId="464A1C51" w14:textId="77777777" w:rsidR="00170E20" w:rsidRPr="00310524" w:rsidRDefault="005D4F94">
      <w:pPr>
        <w:numPr>
          <w:ilvl w:val="0"/>
          <w:numId w:val="1"/>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Review meeting notes and promptly communicate any unclear objectives or tasks.</w:t>
      </w:r>
    </w:p>
    <w:p w14:paraId="242D31CF" w14:textId="77777777" w:rsidR="00170E20" w:rsidRPr="00310524" w:rsidRDefault="005D4F94">
      <w:pPr>
        <w:numPr>
          <w:ilvl w:val="0"/>
          <w:numId w:val="1"/>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Address personal or project conflicts within the team in person.</w:t>
      </w:r>
    </w:p>
    <w:p w14:paraId="74DC98A1" w14:textId="77777777" w:rsidR="00170E20" w:rsidRPr="00310524" w:rsidRDefault="005D4F94">
      <w:pPr>
        <w:numPr>
          <w:ilvl w:val="0"/>
          <w:numId w:val="1"/>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Produce high</w:t>
      </w:r>
      <w:r w:rsidRPr="00310524">
        <w:rPr>
          <w:rFonts w:ascii="Calibri" w:eastAsia="Calibri" w:hAnsi="Calibri" w:cs="Calibri"/>
          <w:sz w:val="24"/>
          <w:szCs w:val="24"/>
        </w:rPr>
        <w:t>‐</w:t>
      </w:r>
      <w:r w:rsidRPr="00310524">
        <w:rPr>
          <w:rFonts w:ascii="Times New Roman" w:eastAsia="Times New Roman" w:hAnsi="Times New Roman" w:cs="Times New Roman"/>
          <w:sz w:val="24"/>
          <w:szCs w:val="24"/>
        </w:rPr>
        <w:t xml:space="preserve">quality work accomplished through appropriate application of effort. </w:t>
      </w:r>
    </w:p>
    <w:p w14:paraId="4DD84ECD" w14:textId="77777777" w:rsidR="00170E20" w:rsidRPr="00310524" w:rsidRDefault="005D4F94">
      <w:pPr>
        <w:numPr>
          <w:ilvl w:val="0"/>
          <w:numId w:val="1"/>
        </w:numPr>
        <w:ind w:hanging="360"/>
        <w:contextualSpacing/>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Fulfill all the academic and professional goals of the project. </w:t>
      </w:r>
    </w:p>
    <w:p w14:paraId="7E53E11D" w14:textId="77777777" w:rsidR="00170E20" w:rsidRPr="00310524" w:rsidRDefault="00170E20">
      <w:pPr>
        <w:rPr>
          <w:rFonts w:ascii="Times New Roman" w:eastAsia="Times New Roman" w:hAnsi="Times New Roman" w:cs="Times New Roman"/>
          <w:i/>
          <w:sz w:val="24"/>
          <w:szCs w:val="24"/>
        </w:rPr>
      </w:pPr>
    </w:p>
    <w:p w14:paraId="72F02326" w14:textId="77777777" w:rsidR="00170E20" w:rsidRPr="00310524" w:rsidRDefault="005D4F94">
      <w:pPr>
        <w:pStyle w:val="Heading3"/>
        <w:ind w:firstLine="720"/>
        <w:rPr>
          <w:rFonts w:ascii="Times New Roman" w:eastAsia="Times New Roman" w:hAnsi="Times New Roman" w:cs="Times New Roman"/>
          <w:i/>
        </w:rPr>
      </w:pPr>
      <w:r w:rsidRPr="00310524">
        <w:rPr>
          <w:rFonts w:ascii="Times New Roman" w:eastAsia="Times New Roman" w:hAnsi="Times New Roman" w:cs="Times New Roman"/>
          <w:i/>
        </w:rPr>
        <w:t>Conflict resolution process</w:t>
      </w:r>
    </w:p>
    <w:p w14:paraId="01814E56"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All members have agreed to bring all disagreements, frustrations, or concerns to the attention of the relevant project team members in question. If a task assigned to any group member is more difficult or complex than previously thought, it should be brought to the attention of the team quickly and explicitly. </w:t>
      </w:r>
    </w:p>
    <w:p w14:paraId="58A6F183" w14:textId="77777777" w:rsidR="00170E20" w:rsidRPr="00310524" w:rsidRDefault="00170E20">
      <w:pPr>
        <w:rPr>
          <w:rFonts w:ascii="Times New Roman" w:eastAsia="Times New Roman" w:hAnsi="Times New Roman" w:cs="Times New Roman"/>
          <w:color w:val="222222"/>
          <w:sz w:val="24"/>
          <w:szCs w:val="24"/>
          <w:highlight w:val="white"/>
        </w:rPr>
      </w:pPr>
    </w:p>
    <w:p w14:paraId="178C183E" w14:textId="77777777" w:rsidR="00170E20"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If a satisfactory solution cannot be agreed upon within the group, the project manager will bring the problem to the attention of the faculty advisor.  For a task which is regarded to be impossible to finish by June 2018, the group will re-focus the project under the guidelines of advisors. When the group fails to finish goals with the time limit, the group will engage the faculty advisor or the Group Project Coordinator. The project manager will meet individually with the faculty advisor and/or the Group Project Coordinator to find solutions if a group member consistently fails to finish assigned tasks. When encountering serious and urgent problems, all group members will feel free to schedule individual meetings with faculty advisor and/or Group Project Coordinator.</w:t>
      </w:r>
    </w:p>
    <w:p w14:paraId="1F79181D" w14:textId="77777777" w:rsidR="00226E1E" w:rsidRDefault="00226E1E">
      <w:pPr>
        <w:rPr>
          <w:rFonts w:ascii="Times New Roman" w:eastAsia="Times New Roman" w:hAnsi="Times New Roman" w:cs="Times New Roman"/>
          <w:color w:val="222222"/>
          <w:sz w:val="24"/>
          <w:szCs w:val="24"/>
          <w:highlight w:val="white"/>
        </w:rPr>
      </w:pPr>
    </w:p>
    <w:p w14:paraId="039ED267" w14:textId="77777777" w:rsidR="00226E1E" w:rsidRDefault="00226E1E">
      <w:pPr>
        <w:rPr>
          <w:rFonts w:ascii="Times New Roman" w:eastAsia="Times New Roman" w:hAnsi="Times New Roman" w:cs="Times New Roman"/>
          <w:color w:val="222222"/>
          <w:sz w:val="24"/>
          <w:szCs w:val="24"/>
          <w:highlight w:val="white"/>
        </w:rPr>
      </w:pPr>
    </w:p>
    <w:p w14:paraId="7EFA5FED" w14:textId="77777777" w:rsidR="00226E1E" w:rsidRDefault="00226E1E">
      <w:pPr>
        <w:rPr>
          <w:rFonts w:ascii="Times New Roman" w:eastAsia="Times New Roman" w:hAnsi="Times New Roman" w:cs="Times New Roman"/>
          <w:color w:val="222222"/>
          <w:sz w:val="24"/>
          <w:szCs w:val="24"/>
          <w:highlight w:val="white"/>
        </w:rPr>
      </w:pPr>
    </w:p>
    <w:p w14:paraId="663F153C" w14:textId="77777777" w:rsidR="00226E1E" w:rsidRDefault="00226E1E">
      <w:pPr>
        <w:rPr>
          <w:rFonts w:ascii="Times New Roman" w:eastAsia="Times New Roman" w:hAnsi="Times New Roman" w:cs="Times New Roman"/>
          <w:color w:val="222222"/>
          <w:sz w:val="24"/>
          <w:szCs w:val="24"/>
          <w:highlight w:val="white"/>
        </w:rPr>
      </w:pPr>
    </w:p>
    <w:p w14:paraId="1D1E8EAB" w14:textId="77777777" w:rsidR="00226E1E" w:rsidRDefault="00226E1E">
      <w:pPr>
        <w:rPr>
          <w:rFonts w:ascii="Times New Roman" w:eastAsia="Times New Roman" w:hAnsi="Times New Roman" w:cs="Times New Roman"/>
          <w:color w:val="222222"/>
          <w:sz w:val="24"/>
          <w:szCs w:val="24"/>
          <w:highlight w:val="white"/>
        </w:rPr>
      </w:pPr>
    </w:p>
    <w:p w14:paraId="3853F0DE" w14:textId="77777777" w:rsidR="00226E1E" w:rsidRDefault="00226E1E">
      <w:pPr>
        <w:rPr>
          <w:rFonts w:ascii="Times New Roman" w:eastAsia="Times New Roman" w:hAnsi="Times New Roman" w:cs="Times New Roman"/>
          <w:color w:val="222222"/>
          <w:sz w:val="24"/>
          <w:szCs w:val="24"/>
          <w:highlight w:val="white"/>
        </w:rPr>
      </w:pPr>
    </w:p>
    <w:p w14:paraId="074C37B7" w14:textId="77777777" w:rsidR="00226E1E" w:rsidRDefault="00226E1E">
      <w:pPr>
        <w:rPr>
          <w:rFonts w:ascii="Times New Roman" w:eastAsia="Times New Roman" w:hAnsi="Times New Roman" w:cs="Times New Roman"/>
          <w:color w:val="222222"/>
          <w:sz w:val="24"/>
          <w:szCs w:val="24"/>
          <w:highlight w:val="white"/>
        </w:rPr>
      </w:pPr>
    </w:p>
    <w:p w14:paraId="12020A66" w14:textId="77777777" w:rsidR="00226E1E" w:rsidRDefault="00226E1E">
      <w:pPr>
        <w:rPr>
          <w:rFonts w:ascii="Times New Roman" w:eastAsia="Times New Roman" w:hAnsi="Times New Roman" w:cs="Times New Roman"/>
          <w:color w:val="222222"/>
          <w:sz w:val="24"/>
          <w:szCs w:val="24"/>
          <w:highlight w:val="white"/>
        </w:rPr>
      </w:pPr>
    </w:p>
    <w:p w14:paraId="7355B741" w14:textId="77777777" w:rsidR="00226E1E" w:rsidRPr="00310524" w:rsidRDefault="00226E1E">
      <w:pPr>
        <w:rPr>
          <w:rFonts w:ascii="Times New Roman" w:eastAsia="Times New Roman" w:hAnsi="Times New Roman" w:cs="Times New Roman"/>
          <w:color w:val="222222"/>
          <w:sz w:val="24"/>
          <w:szCs w:val="24"/>
          <w:highlight w:val="white"/>
        </w:rPr>
      </w:pPr>
      <w:bookmarkStart w:id="36" w:name="_GoBack"/>
      <w:bookmarkEnd w:id="36"/>
    </w:p>
    <w:p w14:paraId="6D24B9E0" w14:textId="0F8E723C" w:rsidR="00170E20" w:rsidRDefault="00A600B9" w:rsidP="00A600B9">
      <w:pPr>
        <w:pStyle w:val="Heading1"/>
        <w:rPr>
          <w:rFonts w:ascii="Times New Roman" w:hAnsi="Times New Roman" w:cs="Times New Roman"/>
          <w:highlight w:val="white"/>
        </w:rPr>
      </w:pPr>
      <w:bookmarkStart w:id="37" w:name="_ihv636" w:colFirst="0" w:colLast="0"/>
      <w:bookmarkEnd w:id="37"/>
      <w:r w:rsidRPr="00310524">
        <w:rPr>
          <w:rFonts w:ascii="Times New Roman" w:hAnsi="Times New Roman" w:cs="Times New Roman"/>
          <w:highlight w:val="white"/>
        </w:rPr>
        <w:lastRenderedPageBreak/>
        <w:t xml:space="preserve">11. </w:t>
      </w:r>
      <w:r w:rsidR="005D4F94" w:rsidRPr="00310524">
        <w:rPr>
          <w:rFonts w:ascii="Times New Roman" w:hAnsi="Times New Roman" w:cs="Times New Roman"/>
          <w:highlight w:val="white"/>
        </w:rPr>
        <w:t xml:space="preserve">Budget </w:t>
      </w:r>
    </w:p>
    <w:p w14:paraId="5A5DAEFD" w14:textId="77777777" w:rsidR="00BA32FB" w:rsidRPr="00BA32FB" w:rsidRDefault="00BA32FB" w:rsidP="00BA32FB">
      <w:pPr>
        <w:rPr>
          <w:highlight w:val="white"/>
        </w:rPr>
      </w:pPr>
    </w:p>
    <w:tbl>
      <w:tblPr>
        <w:tblStyle w:val="a5"/>
        <w:tblW w:w="407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55"/>
        <w:gridCol w:w="2120"/>
      </w:tblGrid>
      <w:tr w:rsidR="00170E20" w:rsidRPr="00310524" w14:paraId="39A4D173" w14:textId="77777777">
        <w:trPr>
          <w:trHeight w:val="500"/>
        </w:trPr>
        <w:tc>
          <w:tcPr>
            <w:tcW w:w="4075" w:type="dxa"/>
            <w:gridSpan w:val="2"/>
            <w:tcMar>
              <w:top w:w="100" w:type="dxa"/>
              <w:left w:w="100" w:type="dxa"/>
              <w:bottom w:w="100" w:type="dxa"/>
              <w:right w:w="100" w:type="dxa"/>
            </w:tcMar>
          </w:tcPr>
          <w:p w14:paraId="34FBC441" w14:textId="77777777" w:rsidR="00170E20" w:rsidRPr="00310524" w:rsidRDefault="005D4F94">
            <w:pPr>
              <w:jc w:val="center"/>
              <w:rPr>
                <w:rFonts w:ascii="Times New Roman" w:eastAsia="Times New Roman" w:hAnsi="Times New Roman" w:cs="Times New Roman"/>
                <w:b/>
                <w:color w:val="222222"/>
                <w:sz w:val="24"/>
                <w:szCs w:val="24"/>
                <w:highlight w:val="white"/>
              </w:rPr>
            </w:pPr>
            <w:r w:rsidRPr="00310524">
              <w:rPr>
                <w:rFonts w:ascii="Times New Roman" w:eastAsia="Times New Roman" w:hAnsi="Times New Roman" w:cs="Times New Roman"/>
                <w:b/>
                <w:color w:val="222222"/>
                <w:sz w:val="24"/>
                <w:szCs w:val="24"/>
                <w:highlight w:val="white"/>
              </w:rPr>
              <w:t>Projected Budget</w:t>
            </w:r>
          </w:p>
        </w:tc>
      </w:tr>
      <w:tr w:rsidR="00170E20" w:rsidRPr="00310524" w14:paraId="5DCCE517" w14:textId="77777777">
        <w:trPr>
          <w:trHeight w:val="500"/>
        </w:trPr>
        <w:tc>
          <w:tcPr>
            <w:tcW w:w="1955" w:type="dxa"/>
            <w:tcBorders>
              <w:top w:val="single" w:sz="4" w:space="0" w:color="000000"/>
              <w:bottom w:val="single" w:sz="4" w:space="0" w:color="000000"/>
            </w:tcBorders>
            <w:tcMar>
              <w:top w:w="100" w:type="dxa"/>
              <w:left w:w="100" w:type="dxa"/>
              <w:bottom w:w="100" w:type="dxa"/>
              <w:right w:w="100" w:type="dxa"/>
            </w:tcMar>
          </w:tcPr>
          <w:p w14:paraId="0303E878"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Item</w:t>
            </w:r>
          </w:p>
        </w:tc>
        <w:tc>
          <w:tcPr>
            <w:tcW w:w="2120" w:type="dxa"/>
            <w:tcBorders>
              <w:top w:val="single" w:sz="4" w:space="0" w:color="000000"/>
              <w:bottom w:val="single" w:sz="4" w:space="0" w:color="000000"/>
            </w:tcBorders>
            <w:tcMar>
              <w:top w:w="100" w:type="dxa"/>
              <w:left w:w="100" w:type="dxa"/>
              <w:bottom w:w="100" w:type="dxa"/>
              <w:right w:w="100" w:type="dxa"/>
            </w:tcMar>
          </w:tcPr>
          <w:p w14:paraId="47FA0634"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Projected Cost</w:t>
            </w:r>
          </w:p>
        </w:tc>
      </w:tr>
      <w:tr w:rsidR="00170E20" w:rsidRPr="00310524" w14:paraId="0A6A2F5E" w14:textId="77777777">
        <w:trPr>
          <w:trHeight w:val="500"/>
        </w:trPr>
        <w:tc>
          <w:tcPr>
            <w:tcW w:w="1955" w:type="dxa"/>
            <w:shd w:val="clear" w:color="auto" w:fill="D9D9D9"/>
            <w:tcMar>
              <w:top w:w="100" w:type="dxa"/>
              <w:left w:w="100" w:type="dxa"/>
              <w:bottom w:w="100" w:type="dxa"/>
              <w:right w:w="100" w:type="dxa"/>
            </w:tcMar>
          </w:tcPr>
          <w:p w14:paraId="187D78ED"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Poster Printing</w:t>
            </w:r>
          </w:p>
        </w:tc>
        <w:tc>
          <w:tcPr>
            <w:tcW w:w="2120" w:type="dxa"/>
            <w:shd w:val="clear" w:color="auto" w:fill="D9D9D9"/>
            <w:tcMar>
              <w:top w:w="100" w:type="dxa"/>
              <w:left w:w="100" w:type="dxa"/>
              <w:bottom w:w="100" w:type="dxa"/>
              <w:right w:w="100" w:type="dxa"/>
            </w:tcMar>
          </w:tcPr>
          <w:p w14:paraId="2094E036"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 xml:space="preserve"> $400.00</w:t>
            </w:r>
          </w:p>
        </w:tc>
      </w:tr>
      <w:tr w:rsidR="00170E20" w:rsidRPr="00310524" w14:paraId="5CB0AEA0" w14:textId="77777777">
        <w:trPr>
          <w:trHeight w:val="500"/>
        </w:trPr>
        <w:tc>
          <w:tcPr>
            <w:tcW w:w="1955" w:type="dxa"/>
            <w:tcMar>
              <w:top w:w="100" w:type="dxa"/>
              <w:left w:w="100" w:type="dxa"/>
              <w:bottom w:w="100" w:type="dxa"/>
              <w:right w:w="100" w:type="dxa"/>
            </w:tcMar>
          </w:tcPr>
          <w:p w14:paraId="26A7E205"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Briefs</w:t>
            </w:r>
          </w:p>
        </w:tc>
        <w:tc>
          <w:tcPr>
            <w:tcW w:w="2120" w:type="dxa"/>
            <w:tcMar>
              <w:top w:w="100" w:type="dxa"/>
              <w:left w:w="100" w:type="dxa"/>
              <w:bottom w:w="100" w:type="dxa"/>
              <w:right w:w="100" w:type="dxa"/>
            </w:tcMar>
          </w:tcPr>
          <w:p w14:paraId="1196AE7D"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$250.00</w:t>
            </w:r>
          </w:p>
        </w:tc>
      </w:tr>
      <w:tr w:rsidR="00170E20" w:rsidRPr="00310524" w14:paraId="5E4B8665" w14:textId="77777777">
        <w:trPr>
          <w:trHeight w:val="500"/>
        </w:trPr>
        <w:tc>
          <w:tcPr>
            <w:tcW w:w="1955" w:type="dxa"/>
            <w:shd w:val="clear" w:color="auto" w:fill="D9D9D9"/>
            <w:tcMar>
              <w:top w:w="100" w:type="dxa"/>
              <w:left w:w="100" w:type="dxa"/>
              <w:bottom w:w="100" w:type="dxa"/>
              <w:right w:w="100" w:type="dxa"/>
            </w:tcMar>
          </w:tcPr>
          <w:p w14:paraId="01281954"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Travel to Oxnard</w:t>
            </w:r>
          </w:p>
        </w:tc>
        <w:tc>
          <w:tcPr>
            <w:tcW w:w="2120" w:type="dxa"/>
            <w:shd w:val="clear" w:color="auto" w:fill="D9D9D9"/>
            <w:tcMar>
              <w:top w:w="100" w:type="dxa"/>
              <w:left w:w="100" w:type="dxa"/>
              <w:bottom w:w="100" w:type="dxa"/>
              <w:right w:w="100" w:type="dxa"/>
            </w:tcMar>
          </w:tcPr>
          <w:p w14:paraId="7A605FE3"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 xml:space="preserve"> $220.00</w:t>
            </w:r>
          </w:p>
        </w:tc>
      </w:tr>
      <w:tr w:rsidR="00170E20" w:rsidRPr="00310524" w14:paraId="23DFD9A8" w14:textId="77777777">
        <w:trPr>
          <w:trHeight w:val="500"/>
        </w:trPr>
        <w:tc>
          <w:tcPr>
            <w:tcW w:w="1955" w:type="dxa"/>
            <w:tcMar>
              <w:top w:w="100" w:type="dxa"/>
              <w:left w:w="100" w:type="dxa"/>
              <w:bottom w:w="100" w:type="dxa"/>
              <w:right w:w="100" w:type="dxa"/>
            </w:tcMar>
          </w:tcPr>
          <w:p w14:paraId="126FAA89"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Visitor Parking</w:t>
            </w:r>
          </w:p>
        </w:tc>
        <w:tc>
          <w:tcPr>
            <w:tcW w:w="2120" w:type="dxa"/>
            <w:tcMar>
              <w:top w:w="100" w:type="dxa"/>
              <w:left w:w="100" w:type="dxa"/>
              <w:bottom w:w="100" w:type="dxa"/>
              <w:right w:w="100" w:type="dxa"/>
            </w:tcMar>
          </w:tcPr>
          <w:p w14:paraId="60EDF514"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$30.00</w:t>
            </w:r>
          </w:p>
        </w:tc>
      </w:tr>
      <w:tr w:rsidR="00170E20" w:rsidRPr="00310524" w14:paraId="6068B4E9" w14:textId="77777777">
        <w:trPr>
          <w:trHeight w:val="500"/>
        </w:trPr>
        <w:tc>
          <w:tcPr>
            <w:tcW w:w="1955" w:type="dxa"/>
            <w:shd w:val="clear" w:color="auto" w:fill="D9D9D9"/>
            <w:tcMar>
              <w:top w:w="100" w:type="dxa"/>
              <w:left w:w="100" w:type="dxa"/>
              <w:bottom w:w="100" w:type="dxa"/>
              <w:right w:w="100" w:type="dxa"/>
            </w:tcMar>
          </w:tcPr>
          <w:p w14:paraId="5DADD041"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Meeting Food</w:t>
            </w:r>
          </w:p>
        </w:tc>
        <w:tc>
          <w:tcPr>
            <w:tcW w:w="2120" w:type="dxa"/>
            <w:shd w:val="clear" w:color="auto" w:fill="D9D9D9"/>
            <w:tcMar>
              <w:top w:w="100" w:type="dxa"/>
              <w:left w:w="100" w:type="dxa"/>
              <w:bottom w:w="100" w:type="dxa"/>
              <w:right w:w="100" w:type="dxa"/>
            </w:tcMar>
          </w:tcPr>
          <w:p w14:paraId="701B3FBA"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 xml:space="preserve"> $50.00</w:t>
            </w:r>
          </w:p>
        </w:tc>
      </w:tr>
      <w:tr w:rsidR="00170E20" w:rsidRPr="00310524" w14:paraId="5BFC97BC" w14:textId="77777777">
        <w:trPr>
          <w:trHeight w:val="500"/>
        </w:trPr>
        <w:tc>
          <w:tcPr>
            <w:tcW w:w="1955" w:type="dxa"/>
            <w:tcMar>
              <w:top w:w="100" w:type="dxa"/>
              <w:left w:w="100" w:type="dxa"/>
              <w:bottom w:w="100" w:type="dxa"/>
              <w:right w:w="100" w:type="dxa"/>
            </w:tcMar>
          </w:tcPr>
          <w:p w14:paraId="2BF12FAE"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Conferences</w:t>
            </w:r>
          </w:p>
        </w:tc>
        <w:tc>
          <w:tcPr>
            <w:tcW w:w="2120" w:type="dxa"/>
            <w:tcMar>
              <w:top w:w="100" w:type="dxa"/>
              <w:left w:w="100" w:type="dxa"/>
              <w:bottom w:w="100" w:type="dxa"/>
              <w:right w:w="100" w:type="dxa"/>
            </w:tcMar>
          </w:tcPr>
          <w:p w14:paraId="5EBEE24D"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 $200.00</w:t>
            </w:r>
          </w:p>
        </w:tc>
      </w:tr>
      <w:tr w:rsidR="00170E20" w:rsidRPr="00310524" w14:paraId="4BFA96D2" w14:textId="77777777">
        <w:trPr>
          <w:trHeight w:val="500"/>
        </w:trPr>
        <w:tc>
          <w:tcPr>
            <w:tcW w:w="1955" w:type="dxa"/>
            <w:tcBorders>
              <w:bottom w:val="single" w:sz="4" w:space="0" w:color="000000"/>
            </w:tcBorders>
            <w:shd w:val="clear" w:color="auto" w:fill="D9D9D9"/>
            <w:tcMar>
              <w:top w:w="100" w:type="dxa"/>
              <w:left w:w="100" w:type="dxa"/>
              <w:bottom w:w="100" w:type="dxa"/>
              <w:right w:w="100" w:type="dxa"/>
            </w:tcMar>
          </w:tcPr>
          <w:p w14:paraId="0455F97E"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Sampling</w:t>
            </w:r>
          </w:p>
        </w:tc>
        <w:tc>
          <w:tcPr>
            <w:tcW w:w="2120" w:type="dxa"/>
            <w:tcBorders>
              <w:bottom w:val="single" w:sz="4" w:space="0" w:color="000000"/>
            </w:tcBorders>
            <w:shd w:val="clear" w:color="auto" w:fill="D9D9D9"/>
            <w:tcMar>
              <w:top w:w="100" w:type="dxa"/>
              <w:left w:w="100" w:type="dxa"/>
              <w:bottom w:w="100" w:type="dxa"/>
              <w:right w:w="100" w:type="dxa"/>
            </w:tcMar>
          </w:tcPr>
          <w:p w14:paraId="7151035A"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shd w:val="clear" w:color="auto" w:fill="D9D9D9"/>
              </w:rPr>
              <w:t xml:space="preserve"> $150.00</w:t>
            </w:r>
          </w:p>
        </w:tc>
      </w:tr>
      <w:tr w:rsidR="00170E20" w:rsidRPr="00310524" w14:paraId="215CDAC9" w14:textId="77777777">
        <w:trPr>
          <w:trHeight w:val="500"/>
        </w:trPr>
        <w:tc>
          <w:tcPr>
            <w:tcW w:w="1955" w:type="dxa"/>
            <w:tcMar>
              <w:top w:w="100" w:type="dxa"/>
              <w:left w:w="100" w:type="dxa"/>
              <w:bottom w:w="100" w:type="dxa"/>
              <w:right w:w="100" w:type="dxa"/>
            </w:tcMar>
          </w:tcPr>
          <w:p w14:paraId="6778CB55"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Total</w:t>
            </w:r>
          </w:p>
        </w:tc>
        <w:tc>
          <w:tcPr>
            <w:tcW w:w="2120" w:type="dxa"/>
            <w:tcMar>
              <w:top w:w="100" w:type="dxa"/>
              <w:left w:w="100" w:type="dxa"/>
              <w:bottom w:w="100" w:type="dxa"/>
              <w:right w:w="100" w:type="dxa"/>
            </w:tcMar>
          </w:tcPr>
          <w:p w14:paraId="201D5BF0" w14:textId="77777777" w:rsidR="00170E20" w:rsidRPr="00310524" w:rsidRDefault="005D4F94">
            <w:pPr>
              <w:jc w:val="cente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$1300</w:t>
            </w:r>
          </w:p>
        </w:tc>
      </w:tr>
    </w:tbl>
    <w:p w14:paraId="02420746" w14:textId="212166D7" w:rsidR="00170E20" w:rsidRPr="00310524" w:rsidRDefault="00A600B9" w:rsidP="00A600B9">
      <w:pPr>
        <w:pStyle w:val="Heading1"/>
        <w:rPr>
          <w:rFonts w:ascii="Times New Roman" w:hAnsi="Times New Roman" w:cs="Times New Roman"/>
          <w:highlight w:val="white"/>
        </w:rPr>
      </w:pPr>
      <w:bookmarkStart w:id="38" w:name="_32hioqz" w:colFirst="0" w:colLast="0"/>
      <w:bookmarkEnd w:id="38"/>
      <w:r w:rsidRPr="00310524">
        <w:rPr>
          <w:rFonts w:ascii="Times New Roman" w:hAnsi="Times New Roman" w:cs="Times New Roman"/>
          <w:highlight w:val="white"/>
        </w:rPr>
        <w:t xml:space="preserve">12. </w:t>
      </w:r>
      <w:r w:rsidR="005D4F94" w:rsidRPr="00310524">
        <w:rPr>
          <w:rFonts w:ascii="Times New Roman" w:hAnsi="Times New Roman" w:cs="Times New Roman"/>
          <w:highlight w:val="white"/>
        </w:rPr>
        <w:t>References</w:t>
      </w:r>
    </w:p>
    <w:p w14:paraId="3A1DA906"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1EEA258C" w14:textId="77777777" w:rsidR="00170E20" w:rsidRPr="00310524" w:rsidRDefault="005D4F94">
      <w:pPr>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highlight w:val="white"/>
        </w:rPr>
        <w:t xml:space="preserve">Agricultural and Natural Resources, University of California. Strawberry Year-Round IPM Program, Statewide Integrated Pest Management Program. May 2010. Retrieved </w:t>
      </w:r>
      <w:proofErr w:type="gramStart"/>
      <w:r w:rsidRPr="00310524">
        <w:rPr>
          <w:rFonts w:ascii="Times New Roman" w:eastAsia="Times New Roman" w:hAnsi="Times New Roman" w:cs="Times New Roman"/>
          <w:sz w:val="24"/>
          <w:szCs w:val="24"/>
          <w:highlight w:val="white"/>
        </w:rPr>
        <w:t>From</w:t>
      </w:r>
      <w:proofErr w:type="gramEnd"/>
      <w:r w:rsidRPr="00310524">
        <w:rPr>
          <w:rFonts w:ascii="Times New Roman" w:eastAsia="Times New Roman" w:hAnsi="Times New Roman" w:cs="Times New Roman"/>
          <w:sz w:val="24"/>
          <w:szCs w:val="24"/>
          <w:highlight w:val="white"/>
        </w:rPr>
        <w:t>:</w:t>
      </w:r>
    </w:p>
    <w:p w14:paraId="17AF3897" w14:textId="77777777" w:rsidR="00170E20" w:rsidRPr="00310524" w:rsidRDefault="005D4F94">
      <w:pPr>
        <w:rPr>
          <w:rFonts w:ascii="Times New Roman" w:eastAsia="Times New Roman" w:hAnsi="Times New Roman" w:cs="Times New Roman"/>
          <w:sz w:val="24"/>
          <w:szCs w:val="24"/>
          <w:highlight w:val="white"/>
        </w:rPr>
      </w:pPr>
      <w:hyperlink r:id="rId15" w:anchor="PESTAPP">
        <w:r w:rsidRPr="00310524">
          <w:rPr>
            <w:rFonts w:ascii="Times New Roman" w:eastAsia="Times New Roman" w:hAnsi="Times New Roman" w:cs="Times New Roman"/>
            <w:color w:val="0000FF"/>
            <w:sz w:val="24"/>
            <w:szCs w:val="24"/>
            <w:highlight w:val="white"/>
            <w:u w:val="single"/>
          </w:rPr>
          <w:t>http://ipm.ucanr.edu/PMG/C734/m734yi01.html#PESTAPP</w:t>
        </w:r>
      </w:hyperlink>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p>
    <w:p w14:paraId="381AAC55" w14:textId="77777777" w:rsidR="00170E20" w:rsidRPr="00310524" w:rsidRDefault="005D4F94">
      <w:pPr>
        <w:spacing w:line="240" w:lineRule="auto"/>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p>
    <w:p w14:paraId="72520A8C" w14:textId="77777777" w:rsidR="00170E20" w:rsidRPr="00310524" w:rsidRDefault="005D4F94">
      <w:pPr>
        <w:spacing w:line="240" w:lineRule="auto"/>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highlight w:val="white"/>
        </w:rPr>
        <w:t xml:space="preserve">Anderson, B., B. Phillips, J. Hunt, K. </w:t>
      </w:r>
      <w:proofErr w:type="spellStart"/>
      <w:r w:rsidRPr="00310524">
        <w:rPr>
          <w:rFonts w:ascii="Times New Roman" w:eastAsia="Times New Roman" w:hAnsi="Times New Roman" w:cs="Times New Roman"/>
          <w:sz w:val="24"/>
          <w:szCs w:val="24"/>
          <w:highlight w:val="white"/>
        </w:rPr>
        <w:t>Siegler</w:t>
      </w:r>
      <w:proofErr w:type="spellEnd"/>
      <w:r w:rsidRPr="00310524">
        <w:rPr>
          <w:rFonts w:ascii="Times New Roman" w:eastAsia="Times New Roman" w:hAnsi="Times New Roman" w:cs="Times New Roman"/>
          <w:sz w:val="24"/>
          <w:szCs w:val="24"/>
          <w:highlight w:val="white"/>
        </w:rPr>
        <w:t xml:space="preserve">, J. Voorhees, K. Smalling, K. </w:t>
      </w:r>
      <w:proofErr w:type="spellStart"/>
      <w:r w:rsidRPr="00310524">
        <w:rPr>
          <w:rFonts w:ascii="Times New Roman" w:eastAsia="Times New Roman" w:hAnsi="Times New Roman" w:cs="Times New Roman"/>
          <w:sz w:val="24"/>
          <w:szCs w:val="24"/>
          <w:highlight w:val="white"/>
        </w:rPr>
        <w:t>Kuivila</w:t>
      </w:r>
      <w:proofErr w:type="spellEnd"/>
      <w:r w:rsidRPr="00310524">
        <w:rPr>
          <w:rFonts w:ascii="Times New Roman" w:eastAsia="Times New Roman" w:hAnsi="Times New Roman" w:cs="Times New Roman"/>
          <w:sz w:val="24"/>
          <w:szCs w:val="24"/>
          <w:highlight w:val="white"/>
        </w:rPr>
        <w:t>, M.</w:t>
      </w:r>
    </w:p>
    <w:p w14:paraId="506B9C9D" w14:textId="77777777" w:rsidR="00170E20" w:rsidRPr="00310524" w:rsidRDefault="005D4F94">
      <w:pPr>
        <w:spacing w:line="240" w:lineRule="auto"/>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highlight w:val="white"/>
        </w:rPr>
        <w:t xml:space="preserve">Adams. (2010). Watershed-scale Evaluation of Agricultural BMP Effectiveness in Protecting Critical Coastal Habitats: Final Report on the Status of Three Central California Estuaries. U.C. Davis, Granite Canyon and U.S. Geologic Survey. Grant Report for the Central Coast Water Board. April 30, 2010. </w:t>
      </w:r>
    </w:p>
    <w:p w14:paraId="4B640156" w14:textId="77777777" w:rsidR="00170E20" w:rsidRPr="00310524" w:rsidRDefault="005D4F94">
      <w:pPr>
        <w:spacing w:line="240" w:lineRule="auto"/>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r w:rsidRPr="00310524">
        <w:rPr>
          <w:rFonts w:ascii="Times New Roman" w:eastAsia="Times New Roman" w:hAnsi="Times New Roman" w:cs="Times New Roman"/>
          <w:sz w:val="24"/>
          <w:szCs w:val="24"/>
          <w:highlight w:val="white"/>
        </w:rPr>
        <w:tab/>
      </w:r>
    </w:p>
    <w:p w14:paraId="569412F6" w14:textId="77777777" w:rsidR="00170E20" w:rsidRPr="00310524" w:rsidRDefault="005D4F94">
      <w:pPr>
        <w:spacing w:line="240" w:lineRule="auto"/>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highlight w:val="white"/>
        </w:rPr>
        <w:t xml:space="preserve">Anderson, B. S., Phillips, B. M., Voorhees, J. P., </w:t>
      </w:r>
      <w:proofErr w:type="spellStart"/>
      <w:r w:rsidRPr="00310524">
        <w:rPr>
          <w:rFonts w:ascii="Times New Roman" w:eastAsia="Times New Roman" w:hAnsi="Times New Roman" w:cs="Times New Roman"/>
          <w:sz w:val="24"/>
          <w:szCs w:val="24"/>
          <w:highlight w:val="white"/>
        </w:rPr>
        <w:t>Siegler</w:t>
      </w:r>
      <w:proofErr w:type="spellEnd"/>
      <w:r w:rsidRPr="00310524">
        <w:rPr>
          <w:rFonts w:ascii="Times New Roman" w:eastAsia="Times New Roman" w:hAnsi="Times New Roman" w:cs="Times New Roman"/>
          <w:sz w:val="24"/>
          <w:szCs w:val="24"/>
          <w:highlight w:val="white"/>
        </w:rPr>
        <w:t xml:space="preserve">, K., &amp; </w:t>
      </w:r>
      <w:proofErr w:type="spellStart"/>
      <w:r w:rsidRPr="00310524">
        <w:rPr>
          <w:rFonts w:ascii="Times New Roman" w:eastAsia="Times New Roman" w:hAnsi="Times New Roman" w:cs="Times New Roman"/>
          <w:sz w:val="24"/>
          <w:szCs w:val="24"/>
          <w:highlight w:val="white"/>
        </w:rPr>
        <w:t>Tjeerdema</w:t>
      </w:r>
      <w:proofErr w:type="spellEnd"/>
      <w:r w:rsidRPr="00310524">
        <w:rPr>
          <w:rFonts w:ascii="Times New Roman" w:eastAsia="Times New Roman" w:hAnsi="Times New Roman" w:cs="Times New Roman"/>
          <w:sz w:val="24"/>
          <w:szCs w:val="24"/>
          <w:highlight w:val="white"/>
        </w:rPr>
        <w:t xml:space="preserve">, R. (2016). </w:t>
      </w:r>
      <w:proofErr w:type="spellStart"/>
      <w:r w:rsidRPr="00310524">
        <w:rPr>
          <w:rFonts w:ascii="Times New Roman" w:eastAsia="Times New Roman" w:hAnsi="Times New Roman" w:cs="Times New Roman"/>
          <w:sz w:val="24"/>
          <w:szCs w:val="24"/>
          <w:highlight w:val="white"/>
        </w:rPr>
        <w:t>Bioswales</w:t>
      </w:r>
      <w:proofErr w:type="spellEnd"/>
      <w:r w:rsidRPr="00310524">
        <w:rPr>
          <w:rFonts w:ascii="Times New Roman" w:eastAsia="Times New Roman" w:hAnsi="Times New Roman" w:cs="Times New Roman"/>
          <w:sz w:val="24"/>
          <w:szCs w:val="24"/>
          <w:highlight w:val="white"/>
        </w:rPr>
        <w:t xml:space="preserve"> reduce contaminants associated with toxicity in urban storm water: </w:t>
      </w:r>
      <w:proofErr w:type="spellStart"/>
      <w:r w:rsidRPr="00310524">
        <w:rPr>
          <w:rFonts w:ascii="Times New Roman" w:eastAsia="Times New Roman" w:hAnsi="Times New Roman" w:cs="Times New Roman"/>
          <w:sz w:val="24"/>
          <w:szCs w:val="24"/>
          <w:highlight w:val="white"/>
        </w:rPr>
        <w:t>Bioswales</w:t>
      </w:r>
      <w:proofErr w:type="spellEnd"/>
      <w:r w:rsidRPr="00310524">
        <w:rPr>
          <w:rFonts w:ascii="Times New Roman" w:eastAsia="Times New Roman" w:hAnsi="Times New Roman" w:cs="Times New Roman"/>
          <w:sz w:val="24"/>
          <w:szCs w:val="24"/>
          <w:highlight w:val="white"/>
        </w:rPr>
        <w:t xml:space="preserve"> treat urban storm water. </w:t>
      </w:r>
      <w:r w:rsidRPr="00310524">
        <w:rPr>
          <w:rFonts w:ascii="Times New Roman" w:eastAsia="Times New Roman" w:hAnsi="Times New Roman" w:cs="Times New Roman"/>
          <w:i/>
          <w:sz w:val="24"/>
          <w:szCs w:val="24"/>
          <w:highlight w:val="white"/>
        </w:rPr>
        <w:t>Environmental Toxicology and Chemistry</w:t>
      </w:r>
      <w:r w:rsidRPr="00310524">
        <w:rPr>
          <w:rFonts w:ascii="Times New Roman" w:eastAsia="Times New Roman" w:hAnsi="Times New Roman" w:cs="Times New Roman"/>
          <w:sz w:val="24"/>
          <w:szCs w:val="24"/>
          <w:highlight w:val="white"/>
        </w:rPr>
        <w:t xml:space="preserve">, </w:t>
      </w:r>
      <w:r w:rsidRPr="00310524">
        <w:rPr>
          <w:rFonts w:ascii="Times New Roman" w:eastAsia="Times New Roman" w:hAnsi="Times New Roman" w:cs="Times New Roman"/>
          <w:i/>
          <w:sz w:val="24"/>
          <w:szCs w:val="24"/>
          <w:highlight w:val="white"/>
        </w:rPr>
        <w:t>35</w:t>
      </w:r>
      <w:r w:rsidRPr="00310524">
        <w:rPr>
          <w:rFonts w:ascii="Times New Roman" w:eastAsia="Times New Roman" w:hAnsi="Times New Roman" w:cs="Times New Roman"/>
          <w:sz w:val="24"/>
          <w:szCs w:val="24"/>
          <w:highlight w:val="white"/>
        </w:rPr>
        <w:t>(12), 3124–3134. https://doi.org/10.1002/etc.3472</w:t>
      </w:r>
    </w:p>
    <w:p w14:paraId="09A85597"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7202DF36" w14:textId="77777777" w:rsidR="00F30C1E" w:rsidRPr="00310524" w:rsidRDefault="00F30C1E" w:rsidP="00F30C1E">
      <w:pPr>
        <w:rPr>
          <w:rFonts w:ascii="Times New Roman" w:eastAsia="Times New Roman" w:hAnsi="Times New Roman" w:cs="Times New Roman"/>
          <w:color w:val="222222"/>
          <w:sz w:val="20"/>
          <w:szCs w:val="20"/>
          <w:shd w:val="clear" w:color="auto" w:fill="FFFFFF"/>
        </w:rPr>
      </w:pPr>
      <w:r w:rsidRPr="00310524">
        <w:rPr>
          <w:rFonts w:ascii="Times New Roman" w:eastAsia="Times New Roman" w:hAnsi="Times New Roman" w:cs="Times New Roman"/>
          <w:color w:val="222222"/>
          <w:sz w:val="20"/>
          <w:szCs w:val="20"/>
          <w:shd w:val="clear" w:color="auto" w:fill="FFFFFF"/>
        </w:rPr>
        <w:lastRenderedPageBreak/>
        <w:t>Burns, L.A. (2007</w:t>
      </w:r>
      <w:r w:rsidRPr="00310524">
        <w:rPr>
          <w:rFonts w:ascii="Times New Roman" w:eastAsia="Times New Roman" w:hAnsi="Times New Roman" w:cs="Times New Roman"/>
          <w:i/>
          <w:color w:val="222222"/>
          <w:sz w:val="20"/>
          <w:szCs w:val="20"/>
          <w:shd w:val="clear" w:color="auto" w:fill="FFFFFF"/>
        </w:rPr>
        <w:t>). EXAMS-PRZM Exposure Simulation Shell: User Manual for EXPRESS</w:t>
      </w:r>
      <w:r w:rsidRPr="00310524">
        <w:rPr>
          <w:rFonts w:ascii="Times New Roman" w:eastAsia="Times New Roman" w:hAnsi="Times New Roman" w:cs="Times New Roman"/>
          <w:color w:val="222222"/>
          <w:sz w:val="20"/>
          <w:szCs w:val="20"/>
          <w:shd w:val="clear" w:color="auto" w:fill="FFFFFF"/>
        </w:rPr>
        <w:t xml:space="preserve">. National Exposure Research Laboratory, Ecosystems Research Division, US Environmental Protection Agency. </w:t>
      </w:r>
    </w:p>
    <w:p w14:paraId="733A218F" w14:textId="77777777" w:rsidR="00F30C1E" w:rsidRPr="00310524" w:rsidRDefault="00F30C1E" w:rsidP="00F30C1E">
      <w:pPr>
        <w:rPr>
          <w:rFonts w:ascii="Times New Roman" w:eastAsia="Times New Roman" w:hAnsi="Times New Roman" w:cs="Times New Roman"/>
          <w:color w:val="222222"/>
          <w:sz w:val="20"/>
          <w:szCs w:val="20"/>
          <w:shd w:val="clear" w:color="auto" w:fill="FFFFFF"/>
        </w:rPr>
      </w:pPr>
    </w:p>
    <w:p w14:paraId="18267066" w14:textId="77777777" w:rsidR="00F30C1E" w:rsidRPr="001B2454" w:rsidRDefault="00F30C1E" w:rsidP="00F30C1E">
      <w:pPr>
        <w:rPr>
          <w:rFonts w:ascii="Times New Roman" w:eastAsia="Times New Roman" w:hAnsi="Times New Roman" w:cs="Times New Roman"/>
        </w:rPr>
      </w:pPr>
      <w:r w:rsidRPr="001B2454">
        <w:rPr>
          <w:rFonts w:ascii="Times New Roman" w:eastAsia="Times New Roman" w:hAnsi="Times New Roman" w:cs="Times New Roman"/>
          <w:color w:val="222222"/>
          <w:sz w:val="20"/>
          <w:szCs w:val="20"/>
          <w:shd w:val="clear" w:color="auto" w:fill="FFFFFF"/>
        </w:rPr>
        <w:t>Burns, L. A., &amp; Cline, D. M. (1985).</w:t>
      </w:r>
      <w:r w:rsidRPr="00310524">
        <w:rPr>
          <w:rFonts w:ascii="Times New Roman" w:eastAsia="Times New Roman" w:hAnsi="Times New Roman" w:cs="Times New Roman"/>
          <w:color w:val="222222"/>
          <w:sz w:val="20"/>
          <w:szCs w:val="20"/>
          <w:shd w:val="clear" w:color="auto" w:fill="FFFFFF"/>
        </w:rPr>
        <w:t> </w:t>
      </w:r>
      <w:r w:rsidRPr="001B2454">
        <w:rPr>
          <w:rFonts w:ascii="Times New Roman" w:eastAsia="Times New Roman" w:hAnsi="Times New Roman" w:cs="Times New Roman"/>
          <w:i/>
          <w:iCs/>
          <w:color w:val="222222"/>
          <w:sz w:val="20"/>
          <w:szCs w:val="20"/>
          <w:shd w:val="clear" w:color="auto" w:fill="FFFFFF"/>
        </w:rPr>
        <w:t>Exposure Analysis Modeling System: Reference Manual for EXAMS II</w:t>
      </w:r>
      <w:r w:rsidRPr="001B2454">
        <w:rPr>
          <w:rFonts w:ascii="Times New Roman" w:eastAsia="Times New Roman" w:hAnsi="Times New Roman" w:cs="Times New Roman"/>
          <w:color w:val="222222"/>
          <w:sz w:val="20"/>
          <w:szCs w:val="20"/>
          <w:shd w:val="clear" w:color="auto" w:fill="FFFFFF"/>
        </w:rPr>
        <w:t>. Environmental Research Laboratory, Office of Research and Development, US Environmental Protection Agency.</w:t>
      </w:r>
    </w:p>
    <w:p w14:paraId="15B2BFDD" w14:textId="77777777" w:rsidR="00F30C1E" w:rsidRPr="00310524" w:rsidRDefault="00F30C1E" w:rsidP="00F30C1E">
      <w:pPr>
        <w:rPr>
          <w:rFonts w:ascii="Times New Roman" w:eastAsia="Times New Roman" w:hAnsi="Times New Roman" w:cs="Times New Roman"/>
          <w:color w:val="222222"/>
          <w:sz w:val="20"/>
          <w:szCs w:val="20"/>
          <w:shd w:val="clear" w:color="auto" w:fill="FFFFFF"/>
        </w:rPr>
      </w:pPr>
    </w:p>
    <w:p w14:paraId="7C9B6F1E" w14:textId="4CED2372" w:rsidR="00F30C1E" w:rsidRPr="00310524" w:rsidRDefault="00F30C1E" w:rsidP="00F30C1E">
      <w:pPr>
        <w:rPr>
          <w:rFonts w:ascii="Times New Roman" w:eastAsia="Times New Roman" w:hAnsi="Times New Roman" w:cs="Times New Roman"/>
        </w:rPr>
      </w:pPr>
      <w:r w:rsidRPr="001B2454">
        <w:rPr>
          <w:rFonts w:ascii="Times New Roman" w:eastAsia="Times New Roman" w:hAnsi="Times New Roman" w:cs="Times New Roman"/>
          <w:color w:val="222222"/>
          <w:sz w:val="20"/>
          <w:szCs w:val="20"/>
          <w:shd w:val="clear" w:color="auto" w:fill="FFFFFF"/>
        </w:rPr>
        <w:t>Burns, L. A., Cline, D. M., &amp; Lassiter, R. R. (1982).</w:t>
      </w:r>
      <w:r w:rsidRPr="00310524">
        <w:rPr>
          <w:rFonts w:ascii="Times New Roman" w:eastAsia="Times New Roman" w:hAnsi="Times New Roman" w:cs="Times New Roman"/>
          <w:color w:val="222222"/>
          <w:sz w:val="20"/>
          <w:szCs w:val="20"/>
          <w:shd w:val="clear" w:color="auto" w:fill="FFFFFF"/>
        </w:rPr>
        <w:t> </w:t>
      </w:r>
      <w:r w:rsidRPr="001B2454">
        <w:rPr>
          <w:rFonts w:ascii="Times New Roman" w:eastAsia="Times New Roman" w:hAnsi="Times New Roman" w:cs="Times New Roman"/>
          <w:i/>
          <w:iCs/>
          <w:color w:val="222222"/>
          <w:sz w:val="20"/>
          <w:szCs w:val="20"/>
          <w:shd w:val="clear" w:color="auto" w:fill="FFFFFF"/>
        </w:rPr>
        <w:t>Exposure analysis modeling system (EXAMS): User manual and system documentation</w:t>
      </w:r>
      <w:r w:rsidRPr="00310524">
        <w:rPr>
          <w:rFonts w:ascii="Times New Roman" w:eastAsia="Times New Roman" w:hAnsi="Times New Roman" w:cs="Times New Roman"/>
          <w:color w:val="222222"/>
          <w:sz w:val="20"/>
          <w:szCs w:val="20"/>
          <w:shd w:val="clear" w:color="auto" w:fill="FFFFFF"/>
        </w:rPr>
        <w:t> </w:t>
      </w:r>
      <w:r w:rsidRPr="001B2454">
        <w:rPr>
          <w:rFonts w:ascii="Times New Roman" w:eastAsia="Times New Roman" w:hAnsi="Times New Roman" w:cs="Times New Roman"/>
          <w:color w:val="222222"/>
          <w:sz w:val="20"/>
          <w:szCs w:val="20"/>
          <w:shd w:val="clear" w:color="auto" w:fill="FFFFFF"/>
        </w:rPr>
        <w:t>(p. 30613). Environmental Research Laboratory, Office of Research and Development, US Environmental Protection Agency.</w:t>
      </w:r>
    </w:p>
    <w:p w14:paraId="03234F07" w14:textId="77777777" w:rsidR="00F30C1E" w:rsidRPr="00310524" w:rsidRDefault="00F30C1E">
      <w:pPr>
        <w:spacing w:line="240" w:lineRule="auto"/>
        <w:rPr>
          <w:rFonts w:ascii="Times New Roman" w:eastAsia="Times New Roman" w:hAnsi="Times New Roman" w:cs="Times New Roman"/>
          <w:sz w:val="24"/>
          <w:szCs w:val="24"/>
          <w:highlight w:val="white"/>
        </w:rPr>
      </w:pPr>
    </w:p>
    <w:p w14:paraId="19E83CC0" w14:textId="77777777" w:rsidR="00170E20" w:rsidRPr="00310524" w:rsidRDefault="005D4F94">
      <w:pPr>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rPr>
        <w:t xml:space="preserve">California Coastal Conservancy. (1999). The First Year Report (No. 1). Retrieved from </w:t>
      </w:r>
      <w:hyperlink r:id="rId16">
        <w:r w:rsidRPr="00310524">
          <w:rPr>
            <w:rFonts w:ascii="Times New Roman" w:eastAsia="Times New Roman" w:hAnsi="Times New Roman" w:cs="Times New Roman"/>
            <w:color w:val="1155CC"/>
            <w:sz w:val="24"/>
            <w:szCs w:val="24"/>
            <w:u w:val="single"/>
          </w:rPr>
          <w:t>http://www.scc.ca.gov/webmaster/ftp/pdf/bayreports/first_year_report.pdf</w:t>
        </w:r>
      </w:hyperlink>
    </w:p>
    <w:p w14:paraId="7D6F62BE"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352C20CA"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California Department of Fish and Wildlife, (2015). </w:t>
      </w:r>
      <w:r w:rsidRPr="00310524">
        <w:rPr>
          <w:rFonts w:ascii="Times New Roman" w:eastAsia="Times New Roman" w:hAnsi="Times New Roman" w:cs="Times New Roman"/>
          <w:i/>
          <w:sz w:val="24"/>
          <w:szCs w:val="24"/>
        </w:rPr>
        <w:t>Pesticide Investigations</w:t>
      </w:r>
      <w:r w:rsidRPr="00310524">
        <w:rPr>
          <w:rFonts w:ascii="Times New Roman" w:eastAsia="Times New Roman" w:hAnsi="Times New Roman" w:cs="Times New Roman"/>
          <w:sz w:val="24"/>
          <w:szCs w:val="24"/>
        </w:rPr>
        <w:t xml:space="preserve">. Wildlife Investigations Laboratory. </w:t>
      </w:r>
    </w:p>
    <w:p w14:paraId="78F2B255" w14:textId="77777777" w:rsidR="00170E20" w:rsidRPr="00310524" w:rsidRDefault="00170E20">
      <w:pPr>
        <w:spacing w:line="240" w:lineRule="auto"/>
        <w:rPr>
          <w:rFonts w:ascii="Times New Roman" w:eastAsia="Times New Roman" w:hAnsi="Times New Roman" w:cs="Times New Roman"/>
          <w:sz w:val="24"/>
          <w:szCs w:val="24"/>
        </w:rPr>
      </w:pPr>
    </w:p>
    <w:p w14:paraId="11B055A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California Department of Fish &amp; Wildlife. (2015). J-Street Drain Fish Loss, 9-2015 (Wildlife Investigations Laboratory Pesticide Investigations). Port Hueneme.</w:t>
      </w:r>
    </w:p>
    <w:p w14:paraId="34D1A096" w14:textId="77777777" w:rsidR="00170E20" w:rsidRPr="00310524" w:rsidRDefault="00170E20">
      <w:pPr>
        <w:spacing w:line="240" w:lineRule="auto"/>
        <w:rPr>
          <w:rFonts w:ascii="Times New Roman" w:eastAsia="Times New Roman" w:hAnsi="Times New Roman" w:cs="Times New Roman"/>
          <w:sz w:val="24"/>
          <w:szCs w:val="24"/>
        </w:rPr>
      </w:pPr>
    </w:p>
    <w:p w14:paraId="690A5C94"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California Department of Pesticide Regulation. 2015. Pesticide Use Reporting. Statewide Reports years 2000 through 2015. Available at</w:t>
      </w:r>
      <w:hyperlink r:id="rId17">
        <w:r w:rsidRPr="00310524">
          <w:rPr>
            <w:rFonts w:ascii="Times New Roman" w:eastAsia="Times New Roman" w:hAnsi="Times New Roman" w:cs="Times New Roman"/>
            <w:sz w:val="24"/>
            <w:szCs w:val="24"/>
          </w:rPr>
          <w:t xml:space="preserve"> </w:t>
        </w:r>
      </w:hyperlink>
      <w:hyperlink r:id="rId18">
        <w:r w:rsidRPr="00310524">
          <w:rPr>
            <w:rFonts w:ascii="Times New Roman" w:eastAsia="Times New Roman" w:hAnsi="Times New Roman" w:cs="Times New Roman"/>
            <w:color w:val="1155CC"/>
            <w:sz w:val="24"/>
            <w:szCs w:val="24"/>
            <w:u w:val="single"/>
          </w:rPr>
          <w:t>http://www.cdpr.ca.gov/docs/pur/purmain.htm</w:t>
        </w:r>
      </w:hyperlink>
      <w:r w:rsidRPr="00310524">
        <w:rPr>
          <w:rFonts w:ascii="Times New Roman" w:eastAsia="Times New Roman" w:hAnsi="Times New Roman" w:cs="Times New Roman"/>
          <w:sz w:val="24"/>
          <w:szCs w:val="24"/>
        </w:rPr>
        <w:t>. Accessed April 20th, 2017.</w:t>
      </w:r>
    </w:p>
    <w:p w14:paraId="4D8E7B8C" w14:textId="77777777" w:rsidR="00170E20" w:rsidRPr="00310524" w:rsidRDefault="00170E20">
      <w:pPr>
        <w:spacing w:line="240" w:lineRule="auto"/>
        <w:rPr>
          <w:rFonts w:ascii="Times New Roman" w:eastAsia="Times New Roman" w:hAnsi="Times New Roman" w:cs="Times New Roman"/>
          <w:sz w:val="24"/>
          <w:szCs w:val="24"/>
        </w:rPr>
      </w:pPr>
    </w:p>
    <w:p w14:paraId="6E268545" w14:textId="77777777" w:rsidR="00170E20" w:rsidRPr="00310524" w:rsidRDefault="005D4F94">
      <w:pPr>
        <w:spacing w:line="240" w:lineRule="auto"/>
        <w:rPr>
          <w:rFonts w:ascii="Times New Roman" w:eastAsia="Times New Roman" w:hAnsi="Times New Roman" w:cs="Times New Roman"/>
          <w:color w:val="1155CC"/>
          <w:sz w:val="24"/>
          <w:szCs w:val="24"/>
          <w:u w:val="single"/>
        </w:rPr>
      </w:pPr>
      <w:r w:rsidRPr="00310524">
        <w:rPr>
          <w:rFonts w:ascii="Times New Roman" w:eastAsia="Times New Roman" w:hAnsi="Times New Roman" w:cs="Times New Roman"/>
          <w:sz w:val="24"/>
          <w:szCs w:val="24"/>
        </w:rPr>
        <w:t xml:space="preserve">California EPA State Water Resources Control Board, </w:t>
      </w:r>
      <w:r w:rsidRPr="00310524">
        <w:rPr>
          <w:rFonts w:ascii="Times New Roman" w:eastAsia="Times New Roman" w:hAnsi="Times New Roman" w:cs="Times New Roman"/>
          <w:i/>
          <w:sz w:val="24"/>
          <w:szCs w:val="24"/>
        </w:rPr>
        <w:t>Surface Ambient Monitoring Program (SWAMP)</w:t>
      </w:r>
      <w:r w:rsidRPr="00310524">
        <w:rPr>
          <w:rFonts w:ascii="Times New Roman" w:eastAsia="Times New Roman" w:hAnsi="Times New Roman" w:cs="Times New Roman"/>
          <w:sz w:val="24"/>
          <w:szCs w:val="24"/>
        </w:rPr>
        <w:t>. 5-10-16 Retrieved from:</w:t>
      </w:r>
      <w:hyperlink r:id="rId19">
        <w:r w:rsidRPr="00310524">
          <w:rPr>
            <w:rFonts w:ascii="Times New Roman" w:eastAsia="Times New Roman" w:hAnsi="Times New Roman" w:cs="Times New Roman"/>
            <w:color w:val="1155CC"/>
            <w:sz w:val="24"/>
            <w:szCs w:val="24"/>
            <w:u w:val="single"/>
          </w:rPr>
          <w:t>http://www.waterboards.ca.gov/water_issues/programs/swamp/spot</w:t>
        </w:r>
      </w:hyperlink>
    </w:p>
    <w:p w14:paraId="56D398FB" w14:textId="77777777" w:rsidR="00170E20" w:rsidRPr="00310524" w:rsidRDefault="00170E20">
      <w:pPr>
        <w:spacing w:line="240" w:lineRule="auto"/>
        <w:rPr>
          <w:rFonts w:ascii="Times New Roman" w:eastAsia="Times New Roman" w:hAnsi="Times New Roman" w:cs="Times New Roman"/>
          <w:color w:val="1155CC"/>
          <w:sz w:val="24"/>
          <w:szCs w:val="24"/>
          <w:u w:val="single"/>
        </w:rPr>
      </w:pPr>
    </w:p>
    <w:p w14:paraId="0EA0CB33" w14:textId="77777777" w:rsidR="00170E20" w:rsidRPr="00310524" w:rsidRDefault="005D4F94">
      <w:pPr>
        <w:rPr>
          <w:rFonts w:ascii="Times New Roman" w:eastAsia="Times New Roman" w:hAnsi="Times New Roman" w:cs="Times New Roman"/>
          <w:color w:val="222222"/>
          <w:sz w:val="24"/>
          <w:szCs w:val="24"/>
          <w:highlight w:val="white"/>
        </w:rPr>
      </w:pPr>
      <w:proofErr w:type="spellStart"/>
      <w:r w:rsidRPr="00310524">
        <w:rPr>
          <w:rFonts w:ascii="Times New Roman" w:eastAsia="Times New Roman" w:hAnsi="Times New Roman" w:cs="Times New Roman"/>
          <w:color w:val="222222"/>
          <w:sz w:val="24"/>
          <w:szCs w:val="24"/>
          <w:highlight w:val="white"/>
        </w:rPr>
        <w:t>Casjens</w:t>
      </w:r>
      <w:proofErr w:type="spellEnd"/>
      <w:r w:rsidRPr="00310524">
        <w:rPr>
          <w:rFonts w:ascii="Times New Roman" w:eastAsia="Times New Roman" w:hAnsi="Times New Roman" w:cs="Times New Roman"/>
          <w:color w:val="222222"/>
          <w:sz w:val="24"/>
          <w:szCs w:val="24"/>
          <w:highlight w:val="white"/>
        </w:rPr>
        <w:t xml:space="preserve">, Heather.  Environmental fate of </w:t>
      </w:r>
      <w:proofErr w:type="spellStart"/>
      <w:r w:rsidRPr="00310524">
        <w:rPr>
          <w:rFonts w:ascii="Times New Roman" w:eastAsia="Times New Roman" w:hAnsi="Times New Roman" w:cs="Times New Roman"/>
          <w:color w:val="222222"/>
          <w:sz w:val="24"/>
          <w:szCs w:val="24"/>
          <w:highlight w:val="white"/>
        </w:rPr>
        <w:t>Cyfluthrin</w:t>
      </w:r>
      <w:proofErr w:type="spellEnd"/>
      <w:r w:rsidRPr="00310524">
        <w:rPr>
          <w:rFonts w:ascii="Times New Roman" w:eastAsia="Times New Roman" w:hAnsi="Times New Roman" w:cs="Times New Roman"/>
          <w:color w:val="222222"/>
          <w:sz w:val="24"/>
          <w:szCs w:val="24"/>
          <w:highlight w:val="white"/>
        </w:rPr>
        <w:t>. Department of Pesticide Regulation, Environmental Monitoring and Pest Management Branch. Sacramento, California.</w:t>
      </w:r>
    </w:p>
    <w:p w14:paraId="49A01A3A" w14:textId="77777777" w:rsidR="00170E20" w:rsidRPr="00310524" w:rsidRDefault="005D4F94">
      <w:pPr>
        <w:rPr>
          <w:rFonts w:ascii="Times New Roman" w:hAnsi="Times New Roman" w:cs="Times New Roman"/>
        </w:rPr>
      </w:pPr>
      <w:hyperlink r:id="rId20">
        <w:r w:rsidRPr="00310524">
          <w:rPr>
            <w:rFonts w:ascii="Times New Roman" w:eastAsia="Times New Roman" w:hAnsi="Times New Roman" w:cs="Times New Roman"/>
            <w:color w:val="1155CC"/>
            <w:sz w:val="24"/>
            <w:szCs w:val="24"/>
            <w:highlight w:val="white"/>
          </w:rPr>
          <w:t>http://www.cdpr.ca.gov/docs/emon/pubs/fatememo/cyflthrn.pdf</w:t>
        </w:r>
      </w:hyperlink>
    </w:p>
    <w:p w14:paraId="1E1AED7A" w14:textId="77777777" w:rsidR="00170E20" w:rsidRPr="00310524" w:rsidRDefault="00170E20">
      <w:pPr>
        <w:rPr>
          <w:rFonts w:ascii="Times New Roman" w:hAnsi="Times New Roman" w:cs="Times New Roman"/>
        </w:rPr>
      </w:pPr>
    </w:p>
    <w:p w14:paraId="0A1522F6" w14:textId="77777777" w:rsidR="00170E20" w:rsidRPr="00310524" w:rsidRDefault="005D4F94">
      <w:pPr>
        <w:rPr>
          <w:rFonts w:ascii="Times New Roman" w:hAnsi="Times New Roman" w:cs="Times New Roman"/>
        </w:rPr>
      </w:pPr>
      <w:r w:rsidRPr="00310524">
        <w:rPr>
          <w:rFonts w:ascii="Times New Roman" w:eastAsia="Times New Roman" w:hAnsi="Times New Roman" w:cs="Times New Roman"/>
          <w:sz w:val="24"/>
          <w:szCs w:val="24"/>
        </w:rPr>
        <w:t xml:space="preserve">Conservation Agriculture: Global Research &amp; Resources. (2015). Retrieved from </w:t>
      </w:r>
      <w:hyperlink r:id="rId21">
        <w:r w:rsidRPr="00310524">
          <w:rPr>
            <w:rFonts w:ascii="Times New Roman" w:eastAsia="Times New Roman" w:hAnsi="Times New Roman" w:cs="Times New Roman"/>
            <w:color w:val="1155CC"/>
            <w:sz w:val="24"/>
            <w:szCs w:val="24"/>
            <w:u w:val="single"/>
          </w:rPr>
          <w:t>http://conservationagriculture.mannlib.cornell.edu/</w:t>
        </w:r>
      </w:hyperlink>
      <w:hyperlink r:id="rId22"/>
    </w:p>
    <w:p w14:paraId="67EAEF56" w14:textId="77777777" w:rsidR="00170E20" w:rsidRPr="00310524" w:rsidRDefault="00170E20">
      <w:pPr>
        <w:spacing w:line="240" w:lineRule="auto"/>
        <w:rPr>
          <w:rFonts w:ascii="Times New Roman" w:eastAsia="Times New Roman" w:hAnsi="Times New Roman" w:cs="Times New Roman"/>
          <w:color w:val="1155CC"/>
          <w:sz w:val="24"/>
          <w:szCs w:val="24"/>
          <w:u w:val="single"/>
        </w:rPr>
      </w:pPr>
    </w:p>
    <w:p w14:paraId="3AECAA62" w14:textId="77777777" w:rsidR="00170E20" w:rsidRPr="00310524" w:rsidRDefault="005D4F94">
      <w:pPr>
        <w:spacing w:line="240" w:lineRule="auto"/>
        <w:rPr>
          <w:rFonts w:ascii="Times New Roman" w:eastAsia="Times New Roman" w:hAnsi="Times New Roman" w:cs="Times New Roman"/>
          <w:color w:val="1155CC"/>
          <w:sz w:val="24"/>
          <w:szCs w:val="24"/>
          <w:u w:val="single"/>
        </w:rPr>
      </w:pPr>
      <w:r w:rsidRPr="00310524">
        <w:rPr>
          <w:rFonts w:ascii="Times New Roman" w:eastAsia="Times New Roman" w:hAnsi="Times New Roman" w:cs="Times New Roman"/>
          <w:sz w:val="24"/>
          <w:szCs w:val="24"/>
        </w:rPr>
        <w:t xml:space="preserve">Curtis, L. R., </w:t>
      </w:r>
      <w:proofErr w:type="spellStart"/>
      <w:r w:rsidRPr="00310524">
        <w:rPr>
          <w:rFonts w:ascii="Times New Roman" w:eastAsia="Times New Roman" w:hAnsi="Times New Roman" w:cs="Times New Roman"/>
          <w:sz w:val="24"/>
          <w:szCs w:val="24"/>
        </w:rPr>
        <w:t>Seim</w:t>
      </w:r>
      <w:proofErr w:type="spellEnd"/>
      <w:r w:rsidRPr="00310524">
        <w:rPr>
          <w:rFonts w:ascii="Times New Roman" w:eastAsia="Times New Roman" w:hAnsi="Times New Roman" w:cs="Times New Roman"/>
          <w:sz w:val="24"/>
          <w:szCs w:val="24"/>
        </w:rPr>
        <w:t xml:space="preserve">, W. K., &amp; Chapman, G. A. (1985). Toxicity of </w:t>
      </w:r>
      <w:proofErr w:type="spellStart"/>
      <w:r w:rsidRPr="00310524">
        <w:rPr>
          <w:rFonts w:ascii="Times New Roman" w:eastAsia="Times New Roman" w:hAnsi="Times New Roman" w:cs="Times New Roman"/>
          <w:sz w:val="24"/>
          <w:szCs w:val="24"/>
        </w:rPr>
        <w:t>fenvalerate</w:t>
      </w:r>
      <w:proofErr w:type="spellEnd"/>
      <w:r w:rsidRPr="00310524">
        <w:rPr>
          <w:rFonts w:ascii="Times New Roman" w:eastAsia="Times New Roman" w:hAnsi="Times New Roman" w:cs="Times New Roman"/>
          <w:sz w:val="24"/>
          <w:szCs w:val="24"/>
        </w:rPr>
        <w:t xml:space="preserve"> to developing steelhead trout following continuous or intermittent exposure. </w:t>
      </w:r>
      <w:r w:rsidRPr="00310524">
        <w:rPr>
          <w:rFonts w:ascii="Times New Roman" w:eastAsia="Times New Roman" w:hAnsi="Times New Roman" w:cs="Times New Roman"/>
          <w:i/>
          <w:sz w:val="24"/>
          <w:szCs w:val="24"/>
        </w:rPr>
        <w:t>Journal of Toxicology and Environmental Health</w:t>
      </w:r>
      <w:r w:rsidRPr="00310524">
        <w:rPr>
          <w:rFonts w:ascii="Times New Roman" w:eastAsia="Times New Roman" w:hAnsi="Times New Roman" w:cs="Times New Roman"/>
          <w:sz w:val="24"/>
          <w:szCs w:val="24"/>
        </w:rPr>
        <w:t xml:space="preserve">, </w:t>
      </w:r>
      <w:r w:rsidRPr="00310524">
        <w:rPr>
          <w:rFonts w:ascii="Times New Roman" w:eastAsia="Times New Roman" w:hAnsi="Times New Roman" w:cs="Times New Roman"/>
          <w:i/>
          <w:sz w:val="24"/>
          <w:szCs w:val="24"/>
        </w:rPr>
        <w:t>15</w:t>
      </w:r>
      <w:r w:rsidRPr="00310524">
        <w:rPr>
          <w:rFonts w:ascii="Times New Roman" w:eastAsia="Times New Roman" w:hAnsi="Times New Roman" w:cs="Times New Roman"/>
          <w:sz w:val="24"/>
          <w:szCs w:val="24"/>
        </w:rPr>
        <w:t>(3–4), 445–457.</w:t>
      </w:r>
      <w:hyperlink r:id="rId23">
        <w:r w:rsidRPr="00310524">
          <w:rPr>
            <w:rFonts w:ascii="Times New Roman" w:eastAsia="Times New Roman" w:hAnsi="Times New Roman" w:cs="Times New Roman"/>
            <w:sz w:val="24"/>
            <w:szCs w:val="24"/>
          </w:rPr>
          <w:t xml:space="preserve"> </w:t>
        </w:r>
      </w:hyperlink>
      <w:hyperlink r:id="rId24">
        <w:r w:rsidRPr="00310524">
          <w:rPr>
            <w:rFonts w:ascii="Times New Roman" w:eastAsia="Times New Roman" w:hAnsi="Times New Roman" w:cs="Times New Roman"/>
            <w:color w:val="1155CC"/>
            <w:sz w:val="24"/>
            <w:szCs w:val="24"/>
            <w:u w:val="single"/>
          </w:rPr>
          <w:t>https://doi.org/10.1080/15287398509530671</w:t>
        </w:r>
      </w:hyperlink>
    </w:p>
    <w:p w14:paraId="245139E9"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Dabney, S. M., Moore, M. T., &amp; Locke, M. A. (2006). Integrated Management of </w:t>
      </w:r>
      <w:proofErr w:type="gramStart"/>
      <w:r w:rsidRPr="00310524">
        <w:rPr>
          <w:rFonts w:ascii="Times New Roman" w:eastAsia="Times New Roman" w:hAnsi="Times New Roman" w:cs="Times New Roman"/>
          <w:sz w:val="24"/>
          <w:szCs w:val="24"/>
        </w:rPr>
        <w:t>in</w:t>
      </w:r>
      <w:proofErr w:type="gramEnd"/>
      <w:r w:rsidRPr="00310524">
        <w:rPr>
          <w:rFonts w:ascii="Times New Roman" w:eastAsia="Times New Roman" w:hAnsi="Times New Roman" w:cs="Times New Roman"/>
          <w:sz w:val="24"/>
          <w:szCs w:val="24"/>
        </w:rPr>
        <w:t xml:space="preserve">-Field, Edge-of-Field, and After-Field Buffers1. </w:t>
      </w:r>
      <w:r w:rsidRPr="00310524">
        <w:rPr>
          <w:rFonts w:ascii="Times New Roman" w:eastAsia="Times New Roman" w:hAnsi="Times New Roman" w:cs="Times New Roman"/>
          <w:i/>
          <w:sz w:val="24"/>
          <w:szCs w:val="24"/>
        </w:rPr>
        <w:t>JAWRA Journal of the American Water Resources Association</w:t>
      </w:r>
      <w:r w:rsidRPr="00310524">
        <w:rPr>
          <w:rFonts w:ascii="Times New Roman" w:eastAsia="Times New Roman" w:hAnsi="Times New Roman" w:cs="Times New Roman"/>
          <w:sz w:val="24"/>
          <w:szCs w:val="24"/>
        </w:rPr>
        <w:t xml:space="preserve">, </w:t>
      </w:r>
      <w:r w:rsidRPr="00310524">
        <w:rPr>
          <w:rFonts w:ascii="Times New Roman" w:eastAsia="Times New Roman" w:hAnsi="Times New Roman" w:cs="Times New Roman"/>
          <w:i/>
          <w:sz w:val="24"/>
          <w:szCs w:val="24"/>
        </w:rPr>
        <w:t>42</w:t>
      </w:r>
      <w:r w:rsidRPr="00310524">
        <w:rPr>
          <w:rFonts w:ascii="Times New Roman" w:eastAsia="Times New Roman" w:hAnsi="Times New Roman" w:cs="Times New Roman"/>
          <w:sz w:val="24"/>
          <w:szCs w:val="24"/>
        </w:rPr>
        <w:t xml:space="preserve">(1), 15–24. </w:t>
      </w:r>
      <w:hyperlink r:id="rId25">
        <w:r w:rsidRPr="00310524">
          <w:rPr>
            <w:rFonts w:ascii="Times New Roman" w:eastAsia="Times New Roman" w:hAnsi="Times New Roman" w:cs="Times New Roman"/>
            <w:color w:val="1155CC"/>
            <w:sz w:val="24"/>
            <w:szCs w:val="24"/>
            <w:u w:val="single"/>
          </w:rPr>
          <w:t>https://doi.org/10.1111/j.1752-1688.2006.tb03819.x</w:t>
        </w:r>
      </w:hyperlink>
    </w:p>
    <w:p w14:paraId="5B275DFC" w14:textId="77777777" w:rsidR="00170E20" w:rsidRPr="00310524" w:rsidRDefault="00170E20">
      <w:pPr>
        <w:spacing w:line="240" w:lineRule="auto"/>
        <w:rPr>
          <w:rFonts w:ascii="Times New Roman" w:eastAsia="Times New Roman" w:hAnsi="Times New Roman" w:cs="Times New Roman"/>
          <w:sz w:val="24"/>
          <w:szCs w:val="24"/>
        </w:rPr>
      </w:pPr>
    </w:p>
    <w:p w14:paraId="104D6B2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color w:val="222222"/>
          <w:sz w:val="24"/>
          <w:szCs w:val="24"/>
          <w:highlight w:val="white"/>
        </w:rPr>
        <w:t xml:space="preserve">Dong, Michael H., </w:t>
      </w:r>
      <w:r w:rsidRPr="00310524">
        <w:rPr>
          <w:rFonts w:ascii="Times New Roman" w:eastAsia="Times New Roman" w:hAnsi="Times New Roman" w:cs="Times New Roman"/>
          <w:i/>
          <w:color w:val="222222"/>
          <w:sz w:val="24"/>
          <w:szCs w:val="24"/>
          <w:highlight w:val="white"/>
        </w:rPr>
        <w:t xml:space="preserve">Human Pesticide Exposure Assessment: Bifenthrin. </w:t>
      </w:r>
      <w:r w:rsidRPr="00310524">
        <w:rPr>
          <w:rFonts w:ascii="Times New Roman" w:eastAsia="Times New Roman" w:hAnsi="Times New Roman" w:cs="Times New Roman"/>
          <w:color w:val="222222"/>
          <w:sz w:val="24"/>
          <w:szCs w:val="24"/>
          <w:highlight w:val="white"/>
        </w:rPr>
        <w:t>Department of Pesticide Regulation California Environmental Protection Agency. July 14, 1995 Retrieved from:</w:t>
      </w:r>
      <w:hyperlink r:id="rId26">
        <w:r w:rsidRPr="00310524">
          <w:rPr>
            <w:rFonts w:ascii="Times New Roman" w:eastAsia="Times New Roman" w:hAnsi="Times New Roman" w:cs="Times New Roman"/>
            <w:color w:val="222222"/>
            <w:sz w:val="24"/>
            <w:szCs w:val="24"/>
            <w:highlight w:val="white"/>
          </w:rPr>
          <w:t xml:space="preserve"> </w:t>
        </w:r>
      </w:hyperlink>
      <w:hyperlink r:id="rId27">
        <w:r w:rsidRPr="00310524">
          <w:rPr>
            <w:rFonts w:ascii="Times New Roman" w:eastAsia="Times New Roman" w:hAnsi="Times New Roman" w:cs="Times New Roman"/>
            <w:color w:val="1155CC"/>
            <w:sz w:val="24"/>
            <w:szCs w:val="24"/>
            <w:highlight w:val="white"/>
            <w:u w:val="single"/>
          </w:rPr>
          <w:t>http://www.cdpr.ca.gov/docs/whs/pdf/hs1722.pdf</w:t>
        </w:r>
      </w:hyperlink>
    </w:p>
    <w:p w14:paraId="0515AD5D" w14:textId="77777777" w:rsidR="00170E20" w:rsidRPr="00310524" w:rsidRDefault="00170E20">
      <w:pPr>
        <w:rPr>
          <w:rFonts w:ascii="Times New Roman" w:eastAsia="Times New Roman" w:hAnsi="Times New Roman" w:cs="Times New Roman"/>
          <w:sz w:val="24"/>
          <w:szCs w:val="24"/>
        </w:rPr>
      </w:pPr>
    </w:p>
    <w:p w14:paraId="2BA8809C"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 xml:space="preserve">Dunne, T. (2010). A rain splash transport equation assimilating field and laboratory measurements. Journal of Geophysical Research, 115(F1). </w:t>
      </w:r>
      <w:hyperlink r:id="rId28">
        <w:r w:rsidRPr="00310524">
          <w:rPr>
            <w:rFonts w:ascii="Times New Roman" w:eastAsia="Times New Roman" w:hAnsi="Times New Roman" w:cs="Times New Roman"/>
            <w:color w:val="1155CC"/>
            <w:sz w:val="24"/>
            <w:szCs w:val="24"/>
            <w:u w:val="single"/>
          </w:rPr>
          <w:t>https://doi.org/10.1029/2009JF001302</w:t>
        </w:r>
      </w:hyperlink>
    </w:p>
    <w:p w14:paraId="7A5AA082" w14:textId="77777777" w:rsidR="00170E20" w:rsidRPr="00310524" w:rsidRDefault="00170E20">
      <w:pPr>
        <w:spacing w:line="240" w:lineRule="auto"/>
        <w:rPr>
          <w:rFonts w:ascii="Times New Roman" w:eastAsia="Times New Roman" w:hAnsi="Times New Roman" w:cs="Times New Roman"/>
          <w:sz w:val="24"/>
          <w:szCs w:val="24"/>
        </w:rPr>
      </w:pPr>
    </w:p>
    <w:p w14:paraId="01CC9224"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i/>
          <w:sz w:val="24"/>
          <w:szCs w:val="24"/>
        </w:rPr>
        <w:t>Endangered and Threatened Wildlife and Plants; Designation of Critical Habitat for Tidewater Goby</w:t>
      </w:r>
      <w:r w:rsidRPr="00310524">
        <w:rPr>
          <w:rFonts w:ascii="Times New Roman" w:eastAsia="Times New Roman" w:hAnsi="Times New Roman" w:cs="Times New Roman"/>
          <w:sz w:val="24"/>
          <w:szCs w:val="24"/>
        </w:rPr>
        <w:t xml:space="preserve">, 78 Fed. Reg. 8746 (February 6, 2013) (to be codified at 50 CFR Part 17). Retrieved from: </w:t>
      </w:r>
      <w:hyperlink r:id="rId29">
        <w:r w:rsidRPr="00310524">
          <w:rPr>
            <w:rFonts w:ascii="Times New Roman" w:eastAsia="Times New Roman" w:hAnsi="Times New Roman" w:cs="Times New Roman"/>
            <w:color w:val="1155CC"/>
            <w:sz w:val="24"/>
            <w:szCs w:val="24"/>
            <w:u w:val="single"/>
          </w:rPr>
          <w:t>https://www.gpo.gov/fdsys/pkg/FR-2013-02-06/pdf/2013-02057.pdf</w:t>
        </w:r>
      </w:hyperlink>
      <w:r w:rsidRPr="00310524">
        <w:rPr>
          <w:rFonts w:ascii="Times New Roman" w:eastAsia="Times New Roman" w:hAnsi="Times New Roman" w:cs="Times New Roman"/>
          <w:sz w:val="24"/>
          <w:szCs w:val="24"/>
        </w:rPr>
        <w:t xml:space="preserve"> </w:t>
      </w:r>
    </w:p>
    <w:p w14:paraId="200F2CBF" w14:textId="77777777" w:rsidR="00170E20" w:rsidRPr="00310524" w:rsidRDefault="00170E20">
      <w:pPr>
        <w:spacing w:line="240" w:lineRule="auto"/>
        <w:rPr>
          <w:rFonts w:ascii="Times New Roman" w:eastAsia="Times New Roman" w:hAnsi="Times New Roman" w:cs="Times New Roman"/>
          <w:sz w:val="24"/>
          <w:szCs w:val="24"/>
        </w:rPr>
      </w:pPr>
    </w:p>
    <w:p w14:paraId="013461A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color w:val="222222"/>
          <w:sz w:val="24"/>
          <w:szCs w:val="24"/>
        </w:rPr>
        <w:t xml:space="preserve">Epstein, Lynn, and Susan </w:t>
      </w:r>
      <w:proofErr w:type="spellStart"/>
      <w:r w:rsidRPr="00310524">
        <w:rPr>
          <w:rFonts w:ascii="Times New Roman" w:eastAsia="Times New Roman" w:hAnsi="Times New Roman" w:cs="Times New Roman"/>
          <w:color w:val="222222"/>
          <w:sz w:val="24"/>
          <w:szCs w:val="24"/>
        </w:rPr>
        <w:t>Bassein</w:t>
      </w:r>
      <w:proofErr w:type="spellEnd"/>
      <w:r w:rsidRPr="00310524">
        <w:rPr>
          <w:rFonts w:ascii="Times New Roman" w:eastAsia="Times New Roman" w:hAnsi="Times New Roman" w:cs="Times New Roman"/>
          <w:color w:val="222222"/>
          <w:sz w:val="24"/>
          <w:szCs w:val="24"/>
        </w:rPr>
        <w:t xml:space="preserve">. "Patterns of pesticide use in California and the implications for strategies for reduction of pesticides." </w:t>
      </w:r>
      <w:r w:rsidRPr="00310524">
        <w:rPr>
          <w:rFonts w:ascii="Times New Roman" w:eastAsia="Times New Roman" w:hAnsi="Times New Roman" w:cs="Times New Roman"/>
          <w:i/>
          <w:color w:val="222222"/>
          <w:sz w:val="24"/>
          <w:szCs w:val="24"/>
        </w:rPr>
        <w:t>Annual review of phytopathology</w:t>
      </w:r>
      <w:r w:rsidRPr="00310524">
        <w:rPr>
          <w:rFonts w:ascii="Times New Roman" w:eastAsia="Times New Roman" w:hAnsi="Times New Roman" w:cs="Times New Roman"/>
          <w:color w:val="222222"/>
          <w:sz w:val="24"/>
          <w:szCs w:val="24"/>
        </w:rPr>
        <w:t xml:space="preserve"> 41.1 (2003): 351-375.</w:t>
      </w:r>
    </w:p>
    <w:p w14:paraId="5193DC80"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307EEC40" w14:textId="77777777" w:rsidR="00170E20" w:rsidRPr="00310524" w:rsidRDefault="005D4F94">
      <w:pPr>
        <w:spacing w:line="240" w:lineRule="auto"/>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highlight w:val="white"/>
        </w:rPr>
        <w:t xml:space="preserve">Farmer, D., Hill, I. R., &amp; </w:t>
      </w:r>
      <w:proofErr w:type="spellStart"/>
      <w:r w:rsidRPr="00310524">
        <w:rPr>
          <w:rFonts w:ascii="Times New Roman" w:eastAsia="Times New Roman" w:hAnsi="Times New Roman" w:cs="Times New Roman"/>
          <w:sz w:val="24"/>
          <w:szCs w:val="24"/>
          <w:highlight w:val="white"/>
        </w:rPr>
        <w:t>Maund</w:t>
      </w:r>
      <w:proofErr w:type="spellEnd"/>
      <w:r w:rsidRPr="00310524">
        <w:rPr>
          <w:rFonts w:ascii="Times New Roman" w:eastAsia="Times New Roman" w:hAnsi="Times New Roman" w:cs="Times New Roman"/>
          <w:sz w:val="24"/>
          <w:szCs w:val="24"/>
          <w:highlight w:val="white"/>
        </w:rPr>
        <w:t>, S. J. (1995). A comparison of the fate and effects of two pyrethroid insecticides (lambda-</w:t>
      </w:r>
      <w:proofErr w:type="spellStart"/>
      <w:r w:rsidRPr="00310524">
        <w:rPr>
          <w:rFonts w:ascii="Times New Roman" w:eastAsia="Times New Roman" w:hAnsi="Times New Roman" w:cs="Times New Roman"/>
          <w:sz w:val="24"/>
          <w:szCs w:val="24"/>
          <w:highlight w:val="white"/>
        </w:rPr>
        <w:t>cyhalothrin</w:t>
      </w:r>
      <w:proofErr w:type="spellEnd"/>
      <w:r w:rsidRPr="00310524">
        <w:rPr>
          <w:rFonts w:ascii="Times New Roman" w:eastAsia="Times New Roman" w:hAnsi="Times New Roman" w:cs="Times New Roman"/>
          <w:sz w:val="24"/>
          <w:szCs w:val="24"/>
          <w:highlight w:val="white"/>
        </w:rPr>
        <w:t xml:space="preserve"> and </w:t>
      </w:r>
      <w:proofErr w:type="spellStart"/>
      <w:r w:rsidRPr="00310524">
        <w:rPr>
          <w:rFonts w:ascii="Times New Roman" w:eastAsia="Times New Roman" w:hAnsi="Times New Roman" w:cs="Times New Roman"/>
          <w:sz w:val="24"/>
          <w:szCs w:val="24"/>
          <w:highlight w:val="white"/>
        </w:rPr>
        <w:t>cypermethrin</w:t>
      </w:r>
      <w:proofErr w:type="spellEnd"/>
      <w:r w:rsidRPr="00310524">
        <w:rPr>
          <w:rFonts w:ascii="Times New Roman" w:eastAsia="Times New Roman" w:hAnsi="Times New Roman" w:cs="Times New Roman"/>
          <w:sz w:val="24"/>
          <w:szCs w:val="24"/>
          <w:highlight w:val="white"/>
        </w:rPr>
        <w:t xml:space="preserve">) in pond </w:t>
      </w:r>
      <w:proofErr w:type="spellStart"/>
      <w:r w:rsidRPr="00310524">
        <w:rPr>
          <w:rFonts w:ascii="Times New Roman" w:eastAsia="Times New Roman" w:hAnsi="Times New Roman" w:cs="Times New Roman"/>
          <w:sz w:val="24"/>
          <w:szCs w:val="24"/>
          <w:highlight w:val="white"/>
        </w:rPr>
        <w:t>mesocosms</w:t>
      </w:r>
      <w:proofErr w:type="spellEnd"/>
      <w:r w:rsidRPr="00310524">
        <w:rPr>
          <w:rFonts w:ascii="Times New Roman" w:eastAsia="Times New Roman" w:hAnsi="Times New Roman" w:cs="Times New Roman"/>
          <w:sz w:val="24"/>
          <w:szCs w:val="24"/>
          <w:highlight w:val="white"/>
        </w:rPr>
        <w:t xml:space="preserve">. </w:t>
      </w:r>
      <w:r w:rsidRPr="00310524">
        <w:rPr>
          <w:rFonts w:ascii="Times New Roman" w:eastAsia="Times New Roman" w:hAnsi="Times New Roman" w:cs="Times New Roman"/>
          <w:i/>
          <w:sz w:val="24"/>
          <w:szCs w:val="24"/>
          <w:highlight w:val="white"/>
        </w:rPr>
        <w:t>Ecotoxicology</w:t>
      </w:r>
      <w:r w:rsidRPr="00310524">
        <w:rPr>
          <w:rFonts w:ascii="Times New Roman" w:eastAsia="Times New Roman" w:hAnsi="Times New Roman" w:cs="Times New Roman"/>
          <w:sz w:val="24"/>
          <w:szCs w:val="24"/>
          <w:highlight w:val="white"/>
        </w:rPr>
        <w:t xml:space="preserve">, </w:t>
      </w:r>
      <w:r w:rsidRPr="00310524">
        <w:rPr>
          <w:rFonts w:ascii="Times New Roman" w:eastAsia="Times New Roman" w:hAnsi="Times New Roman" w:cs="Times New Roman"/>
          <w:i/>
          <w:sz w:val="24"/>
          <w:szCs w:val="24"/>
          <w:highlight w:val="white"/>
        </w:rPr>
        <w:t>4</w:t>
      </w:r>
      <w:r w:rsidRPr="00310524">
        <w:rPr>
          <w:rFonts w:ascii="Times New Roman" w:eastAsia="Times New Roman" w:hAnsi="Times New Roman" w:cs="Times New Roman"/>
          <w:sz w:val="24"/>
          <w:szCs w:val="24"/>
          <w:highlight w:val="white"/>
        </w:rPr>
        <w:t xml:space="preserve">(4), 219–244. </w:t>
      </w:r>
      <w:hyperlink r:id="rId30">
        <w:r w:rsidRPr="00310524">
          <w:rPr>
            <w:rFonts w:ascii="Times New Roman" w:eastAsia="Times New Roman" w:hAnsi="Times New Roman" w:cs="Times New Roman"/>
            <w:color w:val="1155CC"/>
            <w:sz w:val="24"/>
            <w:szCs w:val="24"/>
            <w:highlight w:val="white"/>
            <w:u w:val="single"/>
          </w:rPr>
          <w:t>https://doi.org/10.1007/BF00116342</w:t>
        </w:r>
      </w:hyperlink>
    </w:p>
    <w:p w14:paraId="103A18B6"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1FD2C035" w14:textId="77777777" w:rsidR="00170E20" w:rsidRPr="00310524" w:rsidRDefault="005D4F94">
      <w:pPr>
        <w:rPr>
          <w:rFonts w:ascii="Times New Roman" w:eastAsia="Times New Roman" w:hAnsi="Times New Roman" w:cs="Times New Roman"/>
          <w:sz w:val="24"/>
          <w:szCs w:val="24"/>
          <w:highlight w:val="white"/>
        </w:rPr>
      </w:pPr>
      <w:proofErr w:type="spellStart"/>
      <w:r w:rsidRPr="00310524">
        <w:rPr>
          <w:rFonts w:ascii="Times New Roman" w:eastAsia="Times New Roman" w:hAnsi="Times New Roman" w:cs="Times New Roman"/>
          <w:color w:val="222222"/>
          <w:sz w:val="24"/>
          <w:szCs w:val="24"/>
          <w:highlight w:val="white"/>
        </w:rPr>
        <w:t>Fecko</w:t>
      </w:r>
      <w:proofErr w:type="spellEnd"/>
      <w:r w:rsidRPr="00310524">
        <w:rPr>
          <w:rFonts w:ascii="Times New Roman" w:eastAsia="Times New Roman" w:hAnsi="Times New Roman" w:cs="Times New Roman"/>
          <w:color w:val="222222"/>
          <w:sz w:val="24"/>
          <w:szCs w:val="24"/>
          <w:highlight w:val="white"/>
        </w:rPr>
        <w:t>, A. (1999). Environmental fate of bifenthrin. Department of Pesticide Regulation, Environmental Monitoring and Pest Management Branch. Sacramento, California</w:t>
      </w:r>
    </w:p>
    <w:p w14:paraId="73246CAB"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5769DDE5" w14:textId="77777777" w:rsidR="00170E20" w:rsidRPr="00310524" w:rsidRDefault="005D4F94">
      <w:pPr>
        <w:rPr>
          <w:rFonts w:ascii="Times New Roman" w:eastAsia="Times New Roman" w:hAnsi="Times New Roman" w:cs="Times New Roman"/>
          <w:sz w:val="24"/>
          <w:szCs w:val="24"/>
        </w:rPr>
      </w:pPr>
      <w:proofErr w:type="spellStart"/>
      <w:r w:rsidRPr="00310524">
        <w:rPr>
          <w:rFonts w:ascii="Times New Roman" w:eastAsia="Times New Roman" w:hAnsi="Times New Roman" w:cs="Times New Roman"/>
          <w:sz w:val="24"/>
          <w:szCs w:val="24"/>
        </w:rPr>
        <w:t>Feldmuth</w:t>
      </w:r>
      <w:proofErr w:type="spellEnd"/>
      <w:r w:rsidRPr="00310524">
        <w:rPr>
          <w:rFonts w:ascii="Times New Roman" w:eastAsia="Times New Roman" w:hAnsi="Times New Roman" w:cs="Times New Roman"/>
          <w:sz w:val="24"/>
          <w:szCs w:val="24"/>
        </w:rPr>
        <w:t xml:space="preserve">, R. and D. </w:t>
      </w:r>
      <w:proofErr w:type="spellStart"/>
      <w:r w:rsidRPr="00310524">
        <w:rPr>
          <w:rFonts w:ascii="Times New Roman" w:eastAsia="Times New Roman" w:hAnsi="Times New Roman" w:cs="Times New Roman"/>
          <w:sz w:val="24"/>
          <w:szCs w:val="24"/>
        </w:rPr>
        <w:t>Soltz</w:t>
      </w:r>
      <w:proofErr w:type="spellEnd"/>
      <w:r w:rsidRPr="00310524">
        <w:rPr>
          <w:rFonts w:ascii="Times New Roman" w:eastAsia="Times New Roman" w:hAnsi="Times New Roman" w:cs="Times New Roman"/>
          <w:sz w:val="24"/>
          <w:szCs w:val="24"/>
        </w:rPr>
        <w:t>. (1986). Biological Survey of San Mateo Lagoon.</w:t>
      </w:r>
    </w:p>
    <w:p w14:paraId="13728B1D"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Report to Marine Corps Base Camp Pendleton.</w:t>
      </w:r>
    </w:p>
    <w:p w14:paraId="2C4F80BF" w14:textId="77777777" w:rsidR="00170E20" w:rsidRPr="00310524" w:rsidRDefault="00170E20">
      <w:pPr>
        <w:spacing w:line="240" w:lineRule="auto"/>
        <w:rPr>
          <w:rFonts w:ascii="Times New Roman" w:eastAsia="Times New Roman" w:hAnsi="Times New Roman" w:cs="Times New Roman"/>
          <w:sz w:val="24"/>
          <w:szCs w:val="24"/>
        </w:rPr>
      </w:pPr>
    </w:p>
    <w:p w14:paraId="010AF57C" w14:textId="77777777" w:rsidR="00170E20" w:rsidRPr="00310524" w:rsidRDefault="005D4F94">
      <w:pPr>
        <w:spacing w:line="240" w:lineRule="auto"/>
        <w:rPr>
          <w:rFonts w:ascii="Times New Roman" w:eastAsia="Times New Roman" w:hAnsi="Times New Roman" w:cs="Times New Roman"/>
          <w:sz w:val="24"/>
          <w:szCs w:val="24"/>
        </w:rPr>
      </w:pPr>
      <w:proofErr w:type="spellStart"/>
      <w:r w:rsidRPr="00310524">
        <w:rPr>
          <w:rFonts w:ascii="Times New Roman" w:eastAsia="Times New Roman" w:hAnsi="Times New Roman" w:cs="Times New Roman"/>
          <w:sz w:val="24"/>
          <w:szCs w:val="24"/>
        </w:rPr>
        <w:t>Forsgren</w:t>
      </w:r>
      <w:proofErr w:type="spellEnd"/>
      <w:r w:rsidRPr="00310524">
        <w:rPr>
          <w:rFonts w:ascii="Times New Roman" w:eastAsia="Times New Roman" w:hAnsi="Times New Roman" w:cs="Times New Roman"/>
          <w:sz w:val="24"/>
          <w:szCs w:val="24"/>
        </w:rPr>
        <w:t xml:space="preserve">, K. L., </w:t>
      </w:r>
      <w:proofErr w:type="spellStart"/>
      <w:r w:rsidRPr="00310524">
        <w:rPr>
          <w:rFonts w:ascii="Times New Roman" w:eastAsia="Times New Roman" w:hAnsi="Times New Roman" w:cs="Times New Roman"/>
          <w:sz w:val="24"/>
          <w:szCs w:val="24"/>
        </w:rPr>
        <w:t>Riar</w:t>
      </w:r>
      <w:proofErr w:type="spellEnd"/>
      <w:r w:rsidRPr="00310524">
        <w:rPr>
          <w:rFonts w:ascii="Times New Roman" w:eastAsia="Times New Roman" w:hAnsi="Times New Roman" w:cs="Times New Roman"/>
          <w:sz w:val="24"/>
          <w:szCs w:val="24"/>
        </w:rPr>
        <w:t xml:space="preserve">, N., &amp; </w:t>
      </w:r>
      <w:proofErr w:type="spellStart"/>
      <w:r w:rsidRPr="00310524">
        <w:rPr>
          <w:rFonts w:ascii="Times New Roman" w:eastAsia="Times New Roman" w:hAnsi="Times New Roman" w:cs="Times New Roman"/>
          <w:sz w:val="24"/>
          <w:szCs w:val="24"/>
        </w:rPr>
        <w:t>Schlenk</w:t>
      </w:r>
      <w:proofErr w:type="spellEnd"/>
      <w:r w:rsidRPr="00310524">
        <w:rPr>
          <w:rFonts w:ascii="Times New Roman" w:eastAsia="Times New Roman" w:hAnsi="Times New Roman" w:cs="Times New Roman"/>
          <w:sz w:val="24"/>
          <w:szCs w:val="24"/>
        </w:rPr>
        <w:t>, D. (2013). The effects of the pyrethroid insecticide, bifenthrin, on steroid hormone levels and gonadal development of steelhead (</w:t>
      </w:r>
      <w:proofErr w:type="spellStart"/>
      <w:r w:rsidRPr="00310524">
        <w:rPr>
          <w:rFonts w:ascii="Times New Roman" w:eastAsia="Times New Roman" w:hAnsi="Times New Roman" w:cs="Times New Roman"/>
          <w:sz w:val="24"/>
          <w:szCs w:val="24"/>
        </w:rPr>
        <w:t>Oncorhynchus</w:t>
      </w:r>
      <w:proofErr w:type="spellEnd"/>
      <w:r w:rsidRPr="00310524">
        <w:rPr>
          <w:rFonts w:ascii="Times New Roman" w:eastAsia="Times New Roman" w:hAnsi="Times New Roman" w:cs="Times New Roman"/>
          <w:sz w:val="24"/>
          <w:szCs w:val="24"/>
        </w:rPr>
        <w:t xml:space="preserve"> mykiss) under hypersaline conditions. </w:t>
      </w:r>
      <w:r w:rsidRPr="00310524">
        <w:rPr>
          <w:rFonts w:ascii="Times New Roman" w:eastAsia="Times New Roman" w:hAnsi="Times New Roman" w:cs="Times New Roman"/>
          <w:i/>
          <w:sz w:val="24"/>
          <w:szCs w:val="24"/>
        </w:rPr>
        <w:t>General and Comparative Endocrinology</w:t>
      </w:r>
      <w:r w:rsidRPr="00310524">
        <w:rPr>
          <w:rFonts w:ascii="Times New Roman" w:eastAsia="Times New Roman" w:hAnsi="Times New Roman" w:cs="Times New Roman"/>
          <w:sz w:val="24"/>
          <w:szCs w:val="24"/>
        </w:rPr>
        <w:t xml:space="preserve">, </w:t>
      </w:r>
      <w:r w:rsidRPr="00310524">
        <w:rPr>
          <w:rFonts w:ascii="Times New Roman" w:eastAsia="Times New Roman" w:hAnsi="Times New Roman" w:cs="Times New Roman"/>
          <w:i/>
          <w:sz w:val="24"/>
          <w:szCs w:val="24"/>
        </w:rPr>
        <w:t>186</w:t>
      </w:r>
      <w:r w:rsidRPr="00310524">
        <w:rPr>
          <w:rFonts w:ascii="Times New Roman" w:eastAsia="Times New Roman" w:hAnsi="Times New Roman" w:cs="Times New Roman"/>
          <w:sz w:val="24"/>
          <w:szCs w:val="24"/>
        </w:rPr>
        <w:t>, 101–107.</w:t>
      </w:r>
      <w:hyperlink r:id="rId31">
        <w:r w:rsidRPr="00310524">
          <w:rPr>
            <w:rFonts w:ascii="Times New Roman" w:eastAsia="Times New Roman" w:hAnsi="Times New Roman" w:cs="Times New Roman"/>
            <w:sz w:val="24"/>
            <w:szCs w:val="24"/>
          </w:rPr>
          <w:t xml:space="preserve"> </w:t>
        </w:r>
      </w:hyperlink>
      <w:hyperlink r:id="rId32">
        <w:r w:rsidRPr="00310524">
          <w:rPr>
            <w:rFonts w:ascii="Times New Roman" w:eastAsia="Times New Roman" w:hAnsi="Times New Roman" w:cs="Times New Roman"/>
            <w:color w:val="1155CC"/>
            <w:sz w:val="24"/>
            <w:szCs w:val="24"/>
            <w:u w:val="single"/>
          </w:rPr>
          <w:t>https://doi.org/10.1016/j.ygcen.2013.02.047</w:t>
        </w:r>
      </w:hyperlink>
    </w:p>
    <w:p w14:paraId="1C783E36" w14:textId="77777777" w:rsidR="00170E20" w:rsidRPr="00310524" w:rsidRDefault="00170E20">
      <w:pPr>
        <w:spacing w:line="240" w:lineRule="auto"/>
        <w:rPr>
          <w:rFonts w:ascii="Times New Roman" w:eastAsia="Times New Roman" w:hAnsi="Times New Roman" w:cs="Times New Roman"/>
          <w:sz w:val="24"/>
          <w:szCs w:val="24"/>
        </w:rPr>
      </w:pPr>
    </w:p>
    <w:p w14:paraId="4BF75EE1"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Furbish, D. (2007). What is rain splash erosion and why is it important? Retrieved from </w:t>
      </w:r>
      <w:hyperlink r:id="rId33">
        <w:r w:rsidRPr="00310524">
          <w:rPr>
            <w:rFonts w:ascii="Times New Roman" w:eastAsia="Times New Roman" w:hAnsi="Times New Roman" w:cs="Times New Roman"/>
            <w:color w:val="1155CC"/>
            <w:sz w:val="24"/>
            <w:szCs w:val="24"/>
            <w:u w:val="single"/>
          </w:rPr>
          <w:t>http://www.vanderbilt.edu/exploration/text/index.php?action=view_section&amp;id=1104&amp;story_id=268&amp;images=</w:t>
        </w:r>
      </w:hyperlink>
    </w:p>
    <w:p w14:paraId="6BFFCB18" w14:textId="77777777" w:rsidR="00170E20" w:rsidRPr="00310524" w:rsidRDefault="00170E20">
      <w:pPr>
        <w:spacing w:line="240" w:lineRule="auto"/>
        <w:rPr>
          <w:rFonts w:ascii="Times New Roman" w:eastAsia="Times New Roman" w:hAnsi="Times New Roman" w:cs="Times New Roman"/>
          <w:sz w:val="24"/>
          <w:szCs w:val="24"/>
        </w:rPr>
      </w:pPr>
    </w:p>
    <w:p w14:paraId="4F1F48B6"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Greenberg, L., Rust, M. K., Klotz, J. H., </w:t>
      </w:r>
      <w:proofErr w:type="spellStart"/>
      <w:r w:rsidRPr="00310524">
        <w:rPr>
          <w:rFonts w:ascii="Times New Roman" w:eastAsia="Times New Roman" w:hAnsi="Times New Roman" w:cs="Times New Roman"/>
          <w:color w:val="222222"/>
          <w:sz w:val="24"/>
          <w:szCs w:val="24"/>
          <w:highlight w:val="white"/>
        </w:rPr>
        <w:t>Haver</w:t>
      </w:r>
      <w:proofErr w:type="spellEnd"/>
      <w:r w:rsidRPr="00310524">
        <w:rPr>
          <w:rFonts w:ascii="Times New Roman" w:eastAsia="Times New Roman" w:hAnsi="Times New Roman" w:cs="Times New Roman"/>
          <w:color w:val="222222"/>
          <w:sz w:val="24"/>
          <w:szCs w:val="24"/>
          <w:highlight w:val="white"/>
        </w:rPr>
        <w:t xml:space="preserve">, D., </w:t>
      </w:r>
      <w:proofErr w:type="spellStart"/>
      <w:r w:rsidRPr="00310524">
        <w:rPr>
          <w:rFonts w:ascii="Times New Roman" w:eastAsia="Times New Roman" w:hAnsi="Times New Roman" w:cs="Times New Roman"/>
          <w:color w:val="222222"/>
          <w:sz w:val="24"/>
          <w:szCs w:val="24"/>
          <w:highlight w:val="white"/>
        </w:rPr>
        <w:t>Kabashima</w:t>
      </w:r>
      <w:proofErr w:type="spellEnd"/>
      <w:r w:rsidRPr="00310524">
        <w:rPr>
          <w:rFonts w:ascii="Times New Roman" w:eastAsia="Times New Roman" w:hAnsi="Times New Roman" w:cs="Times New Roman"/>
          <w:color w:val="222222"/>
          <w:sz w:val="24"/>
          <w:szCs w:val="24"/>
          <w:highlight w:val="white"/>
        </w:rPr>
        <w:t xml:space="preserve">, J. N., </w:t>
      </w:r>
      <w:proofErr w:type="spellStart"/>
      <w:r w:rsidRPr="00310524">
        <w:rPr>
          <w:rFonts w:ascii="Times New Roman" w:eastAsia="Times New Roman" w:hAnsi="Times New Roman" w:cs="Times New Roman"/>
          <w:color w:val="222222"/>
          <w:sz w:val="24"/>
          <w:szCs w:val="24"/>
          <w:highlight w:val="white"/>
        </w:rPr>
        <w:t>Bondarenko</w:t>
      </w:r>
      <w:proofErr w:type="spellEnd"/>
      <w:r w:rsidRPr="00310524">
        <w:rPr>
          <w:rFonts w:ascii="Times New Roman" w:eastAsia="Times New Roman" w:hAnsi="Times New Roman" w:cs="Times New Roman"/>
          <w:color w:val="222222"/>
          <w:sz w:val="24"/>
          <w:szCs w:val="24"/>
          <w:highlight w:val="white"/>
        </w:rPr>
        <w:t xml:space="preserve">, S., &amp; </w:t>
      </w:r>
      <w:proofErr w:type="spellStart"/>
      <w:r w:rsidRPr="00310524">
        <w:rPr>
          <w:rFonts w:ascii="Times New Roman" w:eastAsia="Times New Roman" w:hAnsi="Times New Roman" w:cs="Times New Roman"/>
          <w:color w:val="222222"/>
          <w:sz w:val="24"/>
          <w:szCs w:val="24"/>
          <w:highlight w:val="white"/>
        </w:rPr>
        <w:t>Gan</w:t>
      </w:r>
      <w:proofErr w:type="spellEnd"/>
      <w:r w:rsidRPr="00310524">
        <w:rPr>
          <w:rFonts w:ascii="Times New Roman" w:eastAsia="Times New Roman" w:hAnsi="Times New Roman" w:cs="Times New Roman"/>
          <w:color w:val="222222"/>
          <w:sz w:val="24"/>
          <w:szCs w:val="24"/>
          <w:highlight w:val="white"/>
        </w:rPr>
        <w:t xml:space="preserve">, J. (2010). Impact of ant control technologies on insecticide runoff and efficacy. </w:t>
      </w:r>
      <w:r w:rsidRPr="00310524">
        <w:rPr>
          <w:rFonts w:ascii="Times New Roman" w:eastAsia="Times New Roman" w:hAnsi="Times New Roman" w:cs="Times New Roman"/>
          <w:i/>
          <w:color w:val="222222"/>
          <w:sz w:val="24"/>
          <w:szCs w:val="24"/>
          <w:shd w:val="clear" w:color="auto" w:fill="F9F9F9"/>
        </w:rPr>
        <w:t>Pest management science</w:t>
      </w:r>
      <w:r w:rsidRPr="00310524">
        <w:rPr>
          <w:rFonts w:ascii="Times New Roman" w:eastAsia="Times New Roman" w:hAnsi="Times New Roman" w:cs="Times New Roman"/>
          <w:color w:val="222222"/>
          <w:sz w:val="24"/>
          <w:szCs w:val="24"/>
          <w:highlight w:val="white"/>
        </w:rPr>
        <w:t xml:space="preserve">, </w:t>
      </w:r>
      <w:r w:rsidRPr="00310524">
        <w:rPr>
          <w:rFonts w:ascii="Times New Roman" w:eastAsia="Times New Roman" w:hAnsi="Times New Roman" w:cs="Times New Roman"/>
          <w:i/>
          <w:color w:val="222222"/>
          <w:sz w:val="24"/>
          <w:szCs w:val="24"/>
          <w:shd w:val="clear" w:color="auto" w:fill="F9F9F9"/>
        </w:rPr>
        <w:t>66</w:t>
      </w:r>
      <w:r w:rsidRPr="00310524">
        <w:rPr>
          <w:rFonts w:ascii="Times New Roman" w:eastAsia="Times New Roman" w:hAnsi="Times New Roman" w:cs="Times New Roman"/>
          <w:color w:val="222222"/>
          <w:sz w:val="24"/>
          <w:szCs w:val="24"/>
          <w:highlight w:val="white"/>
        </w:rPr>
        <w:t>(9), 980-987.</w:t>
      </w:r>
    </w:p>
    <w:p w14:paraId="7E3544A8"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5C97D95D"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Greenberg, L., Rust, M. K., Richards, J., Wu, X., </w:t>
      </w:r>
      <w:proofErr w:type="spellStart"/>
      <w:r w:rsidRPr="00310524">
        <w:rPr>
          <w:rFonts w:ascii="Times New Roman" w:eastAsia="Times New Roman" w:hAnsi="Times New Roman" w:cs="Times New Roman"/>
          <w:color w:val="222222"/>
          <w:sz w:val="24"/>
          <w:szCs w:val="24"/>
          <w:highlight w:val="white"/>
        </w:rPr>
        <w:t>Kabashima</w:t>
      </w:r>
      <w:proofErr w:type="spellEnd"/>
      <w:r w:rsidRPr="00310524">
        <w:rPr>
          <w:rFonts w:ascii="Times New Roman" w:eastAsia="Times New Roman" w:hAnsi="Times New Roman" w:cs="Times New Roman"/>
          <w:color w:val="222222"/>
          <w:sz w:val="24"/>
          <w:szCs w:val="24"/>
          <w:highlight w:val="white"/>
        </w:rPr>
        <w:t xml:space="preserve">, J., </w:t>
      </w:r>
      <w:proofErr w:type="spellStart"/>
      <w:r w:rsidRPr="00310524">
        <w:rPr>
          <w:rFonts w:ascii="Times New Roman" w:eastAsia="Times New Roman" w:hAnsi="Times New Roman" w:cs="Times New Roman"/>
          <w:color w:val="222222"/>
          <w:sz w:val="24"/>
          <w:szCs w:val="24"/>
          <w:highlight w:val="white"/>
        </w:rPr>
        <w:t>Wilen</w:t>
      </w:r>
      <w:proofErr w:type="spellEnd"/>
      <w:r w:rsidRPr="00310524">
        <w:rPr>
          <w:rFonts w:ascii="Times New Roman" w:eastAsia="Times New Roman" w:hAnsi="Times New Roman" w:cs="Times New Roman"/>
          <w:color w:val="222222"/>
          <w:sz w:val="24"/>
          <w:szCs w:val="24"/>
          <w:highlight w:val="white"/>
        </w:rPr>
        <w:t xml:space="preserve">, C., ... &amp; </w:t>
      </w:r>
      <w:proofErr w:type="spellStart"/>
      <w:r w:rsidRPr="00310524">
        <w:rPr>
          <w:rFonts w:ascii="Times New Roman" w:eastAsia="Times New Roman" w:hAnsi="Times New Roman" w:cs="Times New Roman"/>
          <w:color w:val="222222"/>
          <w:sz w:val="24"/>
          <w:szCs w:val="24"/>
          <w:highlight w:val="white"/>
        </w:rPr>
        <w:t>Choe</w:t>
      </w:r>
      <w:proofErr w:type="spellEnd"/>
      <w:r w:rsidRPr="00310524">
        <w:rPr>
          <w:rFonts w:ascii="Times New Roman" w:eastAsia="Times New Roman" w:hAnsi="Times New Roman" w:cs="Times New Roman"/>
          <w:color w:val="222222"/>
          <w:sz w:val="24"/>
          <w:szCs w:val="24"/>
          <w:highlight w:val="white"/>
        </w:rPr>
        <w:t xml:space="preserve">, D. H. (2014). Practical Pest Management Strategies to Reduce Pesticide Runoff for Argentine Ant (Hymenoptera: </w:t>
      </w:r>
      <w:proofErr w:type="spellStart"/>
      <w:r w:rsidRPr="00310524">
        <w:rPr>
          <w:rFonts w:ascii="Times New Roman" w:eastAsia="Times New Roman" w:hAnsi="Times New Roman" w:cs="Times New Roman"/>
          <w:color w:val="222222"/>
          <w:sz w:val="24"/>
          <w:szCs w:val="24"/>
          <w:highlight w:val="white"/>
        </w:rPr>
        <w:t>Formicidae</w:t>
      </w:r>
      <w:proofErr w:type="spellEnd"/>
      <w:r w:rsidRPr="00310524">
        <w:rPr>
          <w:rFonts w:ascii="Times New Roman" w:eastAsia="Times New Roman" w:hAnsi="Times New Roman" w:cs="Times New Roman"/>
          <w:color w:val="222222"/>
          <w:sz w:val="24"/>
          <w:szCs w:val="24"/>
          <w:highlight w:val="white"/>
        </w:rPr>
        <w:t xml:space="preserve">) Control. </w:t>
      </w:r>
      <w:r w:rsidRPr="00310524">
        <w:rPr>
          <w:rFonts w:ascii="Times New Roman" w:eastAsia="Times New Roman" w:hAnsi="Times New Roman" w:cs="Times New Roman"/>
          <w:i/>
          <w:color w:val="222222"/>
          <w:sz w:val="24"/>
          <w:szCs w:val="24"/>
          <w:highlight w:val="white"/>
        </w:rPr>
        <w:t>Journal of economic entomology</w:t>
      </w:r>
      <w:r w:rsidRPr="00310524">
        <w:rPr>
          <w:rFonts w:ascii="Times New Roman" w:eastAsia="Times New Roman" w:hAnsi="Times New Roman" w:cs="Times New Roman"/>
          <w:color w:val="222222"/>
          <w:sz w:val="24"/>
          <w:szCs w:val="24"/>
          <w:highlight w:val="white"/>
        </w:rPr>
        <w:t xml:space="preserve">, </w:t>
      </w:r>
      <w:r w:rsidRPr="00310524">
        <w:rPr>
          <w:rFonts w:ascii="Times New Roman" w:eastAsia="Times New Roman" w:hAnsi="Times New Roman" w:cs="Times New Roman"/>
          <w:i/>
          <w:color w:val="222222"/>
          <w:sz w:val="24"/>
          <w:szCs w:val="24"/>
          <w:highlight w:val="white"/>
        </w:rPr>
        <w:t>107</w:t>
      </w:r>
      <w:r w:rsidRPr="00310524">
        <w:rPr>
          <w:rFonts w:ascii="Times New Roman" w:eastAsia="Times New Roman" w:hAnsi="Times New Roman" w:cs="Times New Roman"/>
          <w:color w:val="222222"/>
          <w:sz w:val="24"/>
          <w:szCs w:val="24"/>
          <w:highlight w:val="white"/>
        </w:rPr>
        <w:t>(6), 2147-2153.</w:t>
      </w:r>
    </w:p>
    <w:p w14:paraId="487ABA33" w14:textId="77777777" w:rsidR="00170E20" w:rsidRPr="00310524" w:rsidRDefault="00170E20">
      <w:pPr>
        <w:spacing w:line="240" w:lineRule="auto"/>
        <w:rPr>
          <w:rFonts w:ascii="Times New Roman" w:eastAsia="Times New Roman" w:hAnsi="Times New Roman" w:cs="Times New Roman"/>
          <w:sz w:val="24"/>
          <w:szCs w:val="24"/>
        </w:rPr>
      </w:pPr>
    </w:p>
    <w:p w14:paraId="27460235" w14:textId="77777777" w:rsidR="00170E20" w:rsidRPr="00310524" w:rsidRDefault="005D4F94">
      <w:pPr>
        <w:rPr>
          <w:rFonts w:ascii="Times New Roman" w:eastAsia="Times New Roman" w:hAnsi="Times New Roman" w:cs="Times New Roman"/>
          <w:color w:val="222222"/>
          <w:sz w:val="24"/>
          <w:szCs w:val="24"/>
          <w:highlight w:val="white"/>
        </w:rPr>
      </w:pPr>
      <w:proofErr w:type="spellStart"/>
      <w:r w:rsidRPr="00310524">
        <w:rPr>
          <w:rFonts w:ascii="Times New Roman" w:eastAsia="Times New Roman" w:hAnsi="Times New Roman" w:cs="Times New Roman"/>
          <w:color w:val="222222"/>
          <w:sz w:val="24"/>
          <w:szCs w:val="24"/>
          <w:highlight w:val="white"/>
        </w:rPr>
        <w:t>Gunasekara</w:t>
      </w:r>
      <w:proofErr w:type="spellEnd"/>
      <w:r w:rsidRPr="00310524">
        <w:rPr>
          <w:rFonts w:ascii="Times New Roman" w:eastAsia="Times New Roman" w:hAnsi="Times New Roman" w:cs="Times New Roman"/>
          <w:color w:val="222222"/>
          <w:sz w:val="24"/>
          <w:szCs w:val="24"/>
          <w:highlight w:val="white"/>
        </w:rPr>
        <w:t xml:space="preserve">, </w:t>
      </w:r>
      <w:proofErr w:type="spellStart"/>
      <w:r w:rsidRPr="00310524">
        <w:rPr>
          <w:rFonts w:ascii="Times New Roman" w:eastAsia="Times New Roman" w:hAnsi="Times New Roman" w:cs="Times New Roman"/>
          <w:color w:val="222222"/>
          <w:sz w:val="24"/>
          <w:szCs w:val="24"/>
          <w:highlight w:val="white"/>
        </w:rPr>
        <w:t>Amrith</w:t>
      </w:r>
      <w:proofErr w:type="spellEnd"/>
      <w:r w:rsidRPr="00310524">
        <w:rPr>
          <w:rFonts w:ascii="Times New Roman" w:eastAsia="Times New Roman" w:hAnsi="Times New Roman" w:cs="Times New Roman"/>
          <w:color w:val="222222"/>
          <w:sz w:val="24"/>
          <w:szCs w:val="24"/>
          <w:highlight w:val="white"/>
        </w:rPr>
        <w:t xml:space="preserve"> S. (2005). Environmental fate of Pyrethrins. Department of Pesticide Regulation, Environmental Monitoring and Pest Management Branch. Sacramento, California</w:t>
      </w:r>
    </w:p>
    <w:p w14:paraId="43CF7043" w14:textId="77777777" w:rsidR="00170E20" w:rsidRPr="00310524" w:rsidRDefault="005D4F94">
      <w:pPr>
        <w:rPr>
          <w:rFonts w:ascii="Times New Roman" w:hAnsi="Times New Roman" w:cs="Times New Roman"/>
        </w:rPr>
      </w:pPr>
      <w:hyperlink r:id="rId34">
        <w:r w:rsidRPr="00310524">
          <w:rPr>
            <w:rFonts w:ascii="Times New Roman" w:eastAsia="Times New Roman" w:hAnsi="Times New Roman" w:cs="Times New Roman"/>
            <w:color w:val="1155CC"/>
            <w:sz w:val="24"/>
            <w:szCs w:val="24"/>
            <w:highlight w:val="white"/>
            <w:u w:val="single"/>
          </w:rPr>
          <w:t>http://www.cdpr.ca.gov/docs/emon/pubs/fatememo/pyrethrin_efate2.pdf</w:t>
        </w:r>
      </w:hyperlink>
    </w:p>
    <w:p w14:paraId="08129F59" w14:textId="77777777" w:rsidR="00170E20" w:rsidRPr="00310524" w:rsidRDefault="00170E20">
      <w:pPr>
        <w:rPr>
          <w:rFonts w:ascii="Times New Roman" w:hAnsi="Times New Roman" w:cs="Times New Roman"/>
        </w:rPr>
      </w:pPr>
    </w:p>
    <w:p w14:paraId="4D77C71D" w14:textId="77777777" w:rsidR="00170E20" w:rsidRPr="00310524" w:rsidRDefault="005D4F94">
      <w:pPr>
        <w:rPr>
          <w:rFonts w:ascii="Times New Roman" w:hAnsi="Times New Roman" w:cs="Times New Roman"/>
        </w:rPr>
      </w:pPr>
      <w:proofErr w:type="spellStart"/>
      <w:r w:rsidRPr="00310524">
        <w:rPr>
          <w:rFonts w:ascii="Times New Roman" w:eastAsia="Times New Roman" w:hAnsi="Times New Roman" w:cs="Times New Roman"/>
          <w:sz w:val="24"/>
          <w:szCs w:val="24"/>
        </w:rPr>
        <w:lastRenderedPageBreak/>
        <w:t>Halaco</w:t>
      </w:r>
      <w:proofErr w:type="spellEnd"/>
      <w:r w:rsidRPr="00310524">
        <w:rPr>
          <w:rFonts w:ascii="Times New Roman" w:eastAsia="Times New Roman" w:hAnsi="Times New Roman" w:cs="Times New Roman"/>
          <w:sz w:val="24"/>
          <w:szCs w:val="24"/>
        </w:rPr>
        <w:t xml:space="preserve"> Superfund Site. (2017). Retrieved from </w:t>
      </w:r>
      <w:hyperlink r:id="rId35">
        <w:r w:rsidRPr="00310524">
          <w:rPr>
            <w:rFonts w:ascii="Times New Roman" w:eastAsia="Times New Roman" w:hAnsi="Times New Roman" w:cs="Times New Roman"/>
            <w:color w:val="1155CC"/>
            <w:sz w:val="24"/>
            <w:szCs w:val="24"/>
            <w:u w:val="single"/>
          </w:rPr>
          <w:t>https://yosemite.epa.gov/r9/sfund/r9sfdocw.nsf/ViewByEPAID/cad009688052</w:t>
        </w:r>
      </w:hyperlink>
      <w:hyperlink r:id="rId36"/>
    </w:p>
    <w:p w14:paraId="071E7CB4" w14:textId="77777777" w:rsidR="00170E20" w:rsidRPr="00310524" w:rsidRDefault="00170E20">
      <w:pPr>
        <w:spacing w:line="240" w:lineRule="auto"/>
        <w:rPr>
          <w:rFonts w:ascii="Times New Roman" w:eastAsia="Times New Roman" w:hAnsi="Times New Roman" w:cs="Times New Roman"/>
          <w:sz w:val="24"/>
          <w:szCs w:val="24"/>
        </w:rPr>
      </w:pPr>
    </w:p>
    <w:p w14:paraId="37A2BEB6"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Holland, D. (1992). The distribution and status of the tidewater 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sz w:val="24"/>
          <w:szCs w:val="24"/>
        </w:rPr>
        <w:t>) on Camp Pendleton, San Diego County, California. Natural Resources Management Office, United States Marine Corps Base, Camp Pendleton. 58 + iv pp.</w:t>
      </w:r>
    </w:p>
    <w:p w14:paraId="797B243B" w14:textId="77777777" w:rsidR="00170E20" w:rsidRPr="00310524" w:rsidRDefault="00170E20">
      <w:pPr>
        <w:spacing w:line="240" w:lineRule="auto"/>
        <w:rPr>
          <w:rFonts w:ascii="Times New Roman" w:eastAsia="Times New Roman" w:hAnsi="Times New Roman" w:cs="Times New Roman"/>
          <w:sz w:val="24"/>
          <w:szCs w:val="24"/>
        </w:rPr>
      </w:pPr>
    </w:p>
    <w:p w14:paraId="0429DCA7" w14:textId="77777777" w:rsidR="00170E20" w:rsidRPr="00310524" w:rsidRDefault="005D4F94">
      <w:pPr>
        <w:rPr>
          <w:rFonts w:ascii="Times New Roman" w:eastAsia="Times New Roman" w:hAnsi="Times New Roman" w:cs="Times New Roman"/>
          <w:color w:val="222222"/>
          <w:sz w:val="24"/>
          <w:szCs w:val="24"/>
          <w:highlight w:val="white"/>
        </w:rPr>
      </w:pPr>
      <w:proofErr w:type="spellStart"/>
      <w:r w:rsidRPr="00310524">
        <w:rPr>
          <w:rFonts w:ascii="Times New Roman" w:eastAsia="Times New Roman" w:hAnsi="Times New Roman" w:cs="Times New Roman"/>
          <w:color w:val="222222"/>
          <w:sz w:val="24"/>
          <w:szCs w:val="24"/>
          <w:highlight w:val="white"/>
        </w:rPr>
        <w:t>Imgrund</w:t>
      </w:r>
      <w:proofErr w:type="spellEnd"/>
      <w:r w:rsidRPr="00310524">
        <w:rPr>
          <w:rFonts w:ascii="Times New Roman" w:eastAsia="Times New Roman" w:hAnsi="Times New Roman" w:cs="Times New Roman"/>
          <w:color w:val="222222"/>
          <w:sz w:val="24"/>
          <w:szCs w:val="24"/>
          <w:highlight w:val="white"/>
        </w:rPr>
        <w:t>, Heather. (2003). Environmental fate of Permethrin. Department of Pesticide Regulation, Environmental Monitoring and Pest Management Branch. Sacramento, California</w:t>
      </w:r>
    </w:p>
    <w:p w14:paraId="5502B7D3" w14:textId="77777777" w:rsidR="00170E20" w:rsidRPr="00310524" w:rsidRDefault="005D4F94">
      <w:pPr>
        <w:rPr>
          <w:rFonts w:ascii="Times New Roman" w:eastAsia="Times New Roman" w:hAnsi="Times New Roman" w:cs="Times New Roman"/>
          <w:color w:val="1155CC"/>
          <w:sz w:val="24"/>
          <w:szCs w:val="24"/>
          <w:highlight w:val="white"/>
          <w:u w:val="single"/>
        </w:rPr>
      </w:pPr>
      <w:hyperlink r:id="rId37">
        <w:r w:rsidRPr="00310524">
          <w:rPr>
            <w:rFonts w:ascii="Times New Roman" w:eastAsia="Times New Roman" w:hAnsi="Times New Roman" w:cs="Times New Roman"/>
            <w:color w:val="1155CC"/>
            <w:sz w:val="24"/>
            <w:szCs w:val="24"/>
            <w:highlight w:val="white"/>
            <w:u w:val="single"/>
          </w:rPr>
          <w:t>http://www.cdpr.ca.gov/docs/emon/pubs/fatememo/permethrin.pdf</w:t>
        </w:r>
      </w:hyperlink>
    </w:p>
    <w:p w14:paraId="64530C97" w14:textId="77777777" w:rsidR="00170E20" w:rsidRPr="00310524" w:rsidRDefault="00170E20">
      <w:pPr>
        <w:spacing w:line="240" w:lineRule="auto"/>
        <w:rPr>
          <w:rFonts w:ascii="Times New Roman" w:eastAsia="Times New Roman" w:hAnsi="Times New Roman" w:cs="Times New Roman"/>
          <w:sz w:val="24"/>
          <w:szCs w:val="24"/>
        </w:rPr>
      </w:pPr>
    </w:p>
    <w:p w14:paraId="6116EF1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Irwin, J.F., and D.L. </w:t>
      </w:r>
      <w:proofErr w:type="spellStart"/>
      <w:r w:rsidRPr="00310524">
        <w:rPr>
          <w:rFonts w:ascii="Times New Roman" w:eastAsia="Times New Roman" w:hAnsi="Times New Roman" w:cs="Times New Roman"/>
          <w:sz w:val="24"/>
          <w:szCs w:val="24"/>
        </w:rPr>
        <w:t>Soltz</w:t>
      </w:r>
      <w:proofErr w:type="spellEnd"/>
      <w:r w:rsidRPr="00310524">
        <w:rPr>
          <w:rFonts w:ascii="Times New Roman" w:eastAsia="Times New Roman" w:hAnsi="Times New Roman" w:cs="Times New Roman"/>
          <w:sz w:val="24"/>
          <w:szCs w:val="24"/>
        </w:rPr>
        <w:t xml:space="preserve">. (1984). The natural history of the tidewater 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sz w:val="24"/>
          <w:szCs w:val="24"/>
        </w:rPr>
        <w:t>, in the San Antonio and Shuman Creek system,</w:t>
      </w:r>
    </w:p>
    <w:p w14:paraId="47E0522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Santa Barbara County, California. U.S. Fish and Wildlife Service,</w:t>
      </w:r>
    </w:p>
    <w:p w14:paraId="03BD60FE"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Sacramento Endangered Species Office Contract No. 11310-0215-2.</w:t>
      </w:r>
    </w:p>
    <w:p w14:paraId="133E9F2E" w14:textId="77777777" w:rsidR="00170E20" w:rsidRPr="00310524" w:rsidRDefault="00170E20">
      <w:pPr>
        <w:spacing w:line="240" w:lineRule="auto"/>
        <w:rPr>
          <w:rFonts w:ascii="Times New Roman" w:eastAsia="Times New Roman" w:hAnsi="Times New Roman" w:cs="Times New Roman"/>
          <w:sz w:val="24"/>
          <w:szCs w:val="24"/>
        </w:rPr>
      </w:pPr>
    </w:p>
    <w:p w14:paraId="646D764F"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Jones, </w:t>
      </w:r>
      <w:proofErr w:type="spellStart"/>
      <w:r w:rsidRPr="00310524">
        <w:rPr>
          <w:rFonts w:ascii="Times New Roman" w:eastAsia="Times New Roman" w:hAnsi="Times New Roman" w:cs="Times New Roman"/>
          <w:color w:val="222222"/>
          <w:sz w:val="24"/>
          <w:szCs w:val="24"/>
          <w:highlight w:val="white"/>
        </w:rPr>
        <w:t>DeeAn</w:t>
      </w:r>
      <w:proofErr w:type="spellEnd"/>
      <w:r w:rsidRPr="00310524">
        <w:rPr>
          <w:rFonts w:ascii="Times New Roman" w:eastAsia="Times New Roman" w:hAnsi="Times New Roman" w:cs="Times New Roman"/>
          <w:color w:val="222222"/>
          <w:sz w:val="24"/>
          <w:szCs w:val="24"/>
          <w:highlight w:val="white"/>
        </w:rPr>
        <w:t xml:space="preserve">, Environmental fate of </w:t>
      </w:r>
      <w:proofErr w:type="spellStart"/>
      <w:r w:rsidRPr="00310524">
        <w:rPr>
          <w:rFonts w:ascii="Times New Roman" w:eastAsia="Times New Roman" w:hAnsi="Times New Roman" w:cs="Times New Roman"/>
          <w:color w:val="222222"/>
          <w:sz w:val="24"/>
          <w:szCs w:val="24"/>
          <w:highlight w:val="white"/>
        </w:rPr>
        <w:t>Cypermethrin</w:t>
      </w:r>
      <w:proofErr w:type="spellEnd"/>
      <w:r w:rsidRPr="00310524">
        <w:rPr>
          <w:rFonts w:ascii="Times New Roman" w:eastAsia="Times New Roman" w:hAnsi="Times New Roman" w:cs="Times New Roman"/>
          <w:color w:val="222222"/>
          <w:sz w:val="24"/>
          <w:szCs w:val="24"/>
          <w:highlight w:val="white"/>
        </w:rPr>
        <w:t>. Department of Pesticide Regulation, Environmental Monitoring and Pest Management Branch. Sacramento, California.</w:t>
      </w:r>
    </w:p>
    <w:p w14:paraId="5660A34B" w14:textId="77777777" w:rsidR="00170E20" w:rsidRPr="00310524" w:rsidRDefault="005D4F94">
      <w:pPr>
        <w:rPr>
          <w:rFonts w:ascii="Times New Roman" w:eastAsia="Times New Roman" w:hAnsi="Times New Roman" w:cs="Times New Roman"/>
          <w:color w:val="1155CC"/>
          <w:sz w:val="24"/>
          <w:szCs w:val="24"/>
          <w:highlight w:val="white"/>
          <w:u w:val="single"/>
        </w:rPr>
      </w:pPr>
      <w:hyperlink r:id="rId38">
        <w:r w:rsidRPr="00310524">
          <w:rPr>
            <w:rFonts w:ascii="Times New Roman" w:eastAsia="Times New Roman" w:hAnsi="Times New Roman" w:cs="Times New Roman"/>
            <w:color w:val="1155CC"/>
            <w:sz w:val="24"/>
            <w:szCs w:val="24"/>
            <w:highlight w:val="white"/>
            <w:u w:val="single"/>
          </w:rPr>
          <w:t>http://www.cdpr.ca.gov/docs/emon/pubs/fatememo/cyperm.pdf</w:t>
        </w:r>
      </w:hyperlink>
    </w:p>
    <w:p w14:paraId="546551FB" w14:textId="77777777" w:rsidR="00170E20" w:rsidRPr="00310524" w:rsidRDefault="00170E20">
      <w:pPr>
        <w:spacing w:line="240" w:lineRule="auto"/>
        <w:rPr>
          <w:rFonts w:ascii="Times New Roman" w:eastAsia="Times New Roman" w:hAnsi="Times New Roman" w:cs="Times New Roman"/>
          <w:sz w:val="24"/>
          <w:szCs w:val="24"/>
        </w:rPr>
      </w:pPr>
    </w:p>
    <w:p w14:paraId="4E06ECF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Kikuchi, T., and Y. Yamashita. (1992). Seasonal occurrence of </w:t>
      </w:r>
      <w:proofErr w:type="spellStart"/>
      <w:r w:rsidRPr="00310524">
        <w:rPr>
          <w:rFonts w:ascii="Times New Roman" w:eastAsia="Times New Roman" w:hAnsi="Times New Roman" w:cs="Times New Roman"/>
          <w:sz w:val="24"/>
          <w:szCs w:val="24"/>
        </w:rPr>
        <w:t>gobiid</w:t>
      </w:r>
      <w:proofErr w:type="spellEnd"/>
      <w:r w:rsidRPr="00310524">
        <w:rPr>
          <w:rFonts w:ascii="Times New Roman" w:eastAsia="Times New Roman" w:hAnsi="Times New Roman" w:cs="Times New Roman"/>
          <w:sz w:val="24"/>
          <w:szCs w:val="24"/>
        </w:rPr>
        <w:t xml:space="preserve"> fish and their food habits in a small mud flat in </w:t>
      </w:r>
      <w:proofErr w:type="spellStart"/>
      <w:r w:rsidRPr="00310524">
        <w:rPr>
          <w:rFonts w:ascii="Times New Roman" w:eastAsia="Times New Roman" w:hAnsi="Times New Roman" w:cs="Times New Roman"/>
          <w:sz w:val="24"/>
          <w:szCs w:val="24"/>
        </w:rPr>
        <w:t>Amakusa</w:t>
      </w:r>
      <w:proofErr w:type="spellEnd"/>
      <w:r w:rsidRPr="00310524">
        <w:rPr>
          <w:rFonts w:ascii="Times New Roman" w:eastAsia="Times New Roman" w:hAnsi="Times New Roman" w:cs="Times New Roman"/>
          <w:sz w:val="24"/>
          <w:szCs w:val="24"/>
        </w:rPr>
        <w:t xml:space="preserve">. Publications of the </w:t>
      </w:r>
      <w:proofErr w:type="spellStart"/>
      <w:r w:rsidRPr="00310524">
        <w:rPr>
          <w:rFonts w:ascii="Times New Roman" w:eastAsia="Times New Roman" w:hAnsi="Times New Roman" w:cs="Times New Roman"/>
          <w:sz w:val="24"/>
          <w:szCs w:val="24"/>
        </w:rPr>
        <w:t>Amakusa</w:t>
      </w:r>
      <w:proofErr w:type="spellEnd"/>
      <w:r w:rsidRPr="00310524">
        <w:rPr>
          <w:rFonts w:ascii="Times New Roman" w:eastAsia="Times New Roman" w:hAnsi="Times New Roman" w:cs="Times New Roman"/>
          <w:sz w:val="24"/>
          <w:szCs w:val="24"/>
        </w:rPr>
        <w:t xml:space="preserve"> Marine Biology Laboratory </w:t>
      </w:r>
      <w:proofErr w:type="spellStart"/>
      <w:proofErr w:type="gramStart"/>
      <w:r w:rsidRPr="00310524">
        <w:rPr>
          <w:rFonts w:ascii="Times New Roman" w:eastAsia="Times New Roman" w:hAnsi="Times New Roman" w:cs="Times New Roman"/>
          <w:sz w:val="24"/>
          <w:szCs w:val="24"/>
        </w:rPr>
        <w:t>ll</w:t>
      </w:r>
      <w:proofErr w:type="spellEnd"/>
      <w:r w:rsidRPr="00310524">
        <w:rPr>
          <w:rFonts w:ascii="Times New Roman" w:eastAsia="Times New Roman" w:hAnsi="Times New Roman" w:cs="Times New Roman"/>
          <w:sz w:val="24"/>
          <w:szCs w:val="24"/>
        </w:rPr>
        <w:t>(</w:t>
      </w:r>
      <w:proofErr w:type="gramEnd"/>
      <w:r w:rsidRPr="00310524">
        <w:rPr>
          <w:rFonts w:ascii="Times New Roman" w:eastAsia="Times New Roman" w:hAnsi="Times New Roman" w:cs="Times New Roman"/>
          <w:sz w:val="24"/>
          <w:szCs w:val="24"/>
        </w:rPr>
        <w:t>2):73-93.</w:t>
      </w:r>
    </w:p>
    <w:p w14:paraId="7ABC9C75" w14:textId="77777777" w:rsidR="00170E20" w:rsidRPr="00310524" w:rsidRDefault="00170E20">
      <w:pPr>
        <w:spacing w:line="240" w:lineRule="auto"/>
        <w:rPr>
          <w:rFonts w:ascii="Times New Roman" w:eastAsia="Times New Roman" w:hAnsi="Times New Roman" w:cs="Times New Roman"/>
          <w:sz w:val="24"/>
          <w:szCs w:val="24"/>
        </w:rPr>
      </w:pPr>
    </w:p>
    <w:p w14:paraId="30CB3C93" w14:textId="77777777" w:rsidR="00170E20" w:rsidRPr="00310524" w:rsidRDefault="005D4F94">
      <w:pPr>
        <w:spacing w:line="240" w:lineRule="auto"/>
        <w:rPr>
          <w:rFonts w:ascii="Times New Roman" w:eastAsia="Times New Roman" w:hAnsi="Times New Roman" w:cs="Times New Roman"/>
          <w:sz w:val="24"/>
          <w:szCs w:val="24"/>
        </w:rPr>
      </w:pPr>
      <w:proofErr w:type="spellStart"/>
      <w:r w:rsidRPr="00310524">
        <w:rPr>
          <w:rFonts w:ascii="Times New Roman" w:eastAsia="Times New Roman" w:hAnsi="Times New Roman" w:cs="Times New Roman"/>
          <w:sz w:val="24"/>
          <w:szCs w:val="24"/>
        </w:rPr>
        <w:t>Kumaraguru</w:t>
      </w:r>
      <w:proofErr w:type="spellEnd"/>
      <w:r w:rsidRPr="00310524">
        <w:rPr>
          <w:rFonts w:ascii="Times New Roman" w:eastAsia="Times New Roman" w:hAnsi="Times New Roman" w:cs="Times New Roman"/>
          <w:sz w:val="24"/>
          <w:szCs w:val="24"/>
        </w:rPr>
        <w:t xml:space="preserve">, A. K., &amp; Beamish, F. W. H. (1981). Lethal toxicity of permethrin (NRDC-143) to rainbow trout, </w:t>
      </w:r>
      <w:proofErr w:type="spellStart"/>
      <w:r w:rsidRPr="00310524">
        <w:rPr>
          <w:rFonts w:ascii="Times New Roman" w:eastAsia="Times New Roman" w:hAnsi="Times New Roman" w:cs="Times New Roman"/>
          <w:sz w:val="24"/>
          <w:szCs w:val="24"/>
        </w:rPr>
        <w:t>salmo</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gairdneri</w:t>
      </w:r>
      <w:proofErr w:type="spellEnd"/>
      <w:r w:rsidRPr="00310524">
        <w:rPr>
          <w:rFonts w:ascii="Times New Roman" w:eastAsia="Times New Roman" w:hAnsi="Times New Roman" w:cs="Times New Roman"/>
          <w:sz w:val="24"/>
          <w:szCs w:val="24"/>
        </w:rPr>
        <w:t xml:space="preserve">, in relation to body weight and water temperature. </w:t>
      </w:r>
      <w:r w:rsidRPr="00310524">
        <w:rPr>
          <w:rFonts w:ascii="Times New Roman" w:eastAsia="Times New Roman" w:hAnsi="Times New Roman" w:cs="Times New Roman"/>
          <w:i/>
          <w:sz w:val="24"/>
          <w:szCs w:val="24"/>
        </w:rPr>
        <w:t>Water Research</w:t>
      </w:r>
      <w:r w:rsidRPr="00310524">
        <w:rPr>
          <w:rFonts w:ascii="Times New Roman" w:eastAsia="Times New Roman" w:hAnsi="Times New Roman" w:cs="Times New Roman"/>
          <w:sz w:val="24"/>
          <w:szCs w:val="24"/>
        </w:rPr>
        <w:t xml:space="preserve">, </w:t>
      </w:r>
      <w:r w:rsidRPr="00310524">
        <w:rPr>
          <w:rFonts w:ascii="Times New Roman" w:eastAsia="Times New Roman" w:hAnsi="Times New Roman" w:cs="Times New Roman"/>
          <w:i/>
          <w:sz w:val="24"/>
          <w:szCs w:val="24"/>
        </w:rPr>
        <w:t>15</w:t>
      </w:r>
      <w:r w:rsidRPr="00310524">
        <w:rPr>
          <w:rFonts w:ascii="Times New Roman" w:eastAsia="Times New Roman" w:hAnsi="Times New Roman" w:cs="Times New Roman"/>
          <w:sz w:val="24"/>
          <w:szCs w:val="24"/>
        </w:rPr>
        <w:t>(4), 503–505. https://doi.org/10.1016/0043-1354(81)90061-0</w:t>
      </w:r>
    </w:p>
    <w:p w14:paraId="7FDFA7D8" w14:textId="77777777" w:rsidR="00170E20" w:rsidRPr="00310524" w:rsidRDefault="00170E20">
      <w:pPr>
        <w:spacing w:line="240" w:lineRule="auto"/>
        <w:rPr>
          <w:rFonts w:ascii="Times New Roman" w:eastAsia="Times New Roman" w:hAnsi="Times New Roman" w:cs="Times New Roman"/>
          <w:sz w:val="24"/>
          <w:szCs w:val="24"/>
        </w:rPr>
      </w:pPr>
    </w:p>
    <w:p w14:paraId="4236FE82"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Lafferty, K.D., C.C. Swift, and R.F. Ambrose. (1999). </w:t>
      </w:r>
      <w:proofErr w:type="spellStart"/>
      <w:r w:rsidRPr="00310524">
        <w:rPr>
          <w:rFonts w:ascii="Times New Roman" w:eastAsia="Times New Roman" w:hAnsi="Times New Roman" w:cs="Times New Roman"/>
          <w:sz w:val="24"/>
          <w:szCs w:val="24"/>
        </w:rPr>
        <w:t>Postflood</w:t>
      </w:r>
      <w:proofErr w:type="spellEnd"/>
      <w:r w:rsidRPr="00310524">
        <w:rPr>
          <w:rFonts w:ascii="Times New Roman" w:eastAsia="Times New Roman" w:hAnsi="Times New Roman" w:cs="Times New Roman"/>
          <w:sz w:val="24"/>
          <w:szCs w:val="24"/>
        </w:rPr>
        <w:t xml:space="preserve"> persistence and</w:t>
      </w:r>
    </w:p>
    <w:p w14:paraId="52CE9093"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recolonization of endangered tidewater goby populations. North</w:t>
      </w:r>
    </w:p>
    <w:p w14:paraId="598D3EF4"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American Journal of Fisheries Management 19:618-622.</w:t>
      </w:r>
    </w:p>
    <w:p w14:paraId="1AB4F188" w14:textId="77777777" w:rsidR="00170E20" w:rsidRPr="00310524" w:rsidRDefault="00170E20">
      <w:pPr>
        <w:spacing w:line="240" w:lineRule="auto"/>
        <w:rPr>
          <w:rFonts w:ascii="Times New Roman" w:eastAsia="Times New Roman" w:hAnsi="Times New Roman" w:cs="Times New Roman"/>
          <w:sz w:val="24"/>
          <w:szCs w:val="24"/>
        </w:rPr>
      </w:pPr>
    </w:p>
    <w:p w14:paraId="2AA2AE8C" w14:textId="77777777" w:rsidR="00170E20" w:rsidRPr="00310524" w:rsidRDefault="005D4F94">
      <w:pPr>
        <w:rPr>
          <w:rFonts w:ascii="Times New Roman" w:eastAsia="Times New Roman" w:hAnsi="Times New Roman" w:cs="Times New Roman"/>
          <w:color w:val="222222"/>
          <w:sz w:val="24"/>
          <w:szCs w:val="24"/>
          <w:highlight w:val="white"/>
        </w:rPr>
      </w:pPr>
      <w:proofErr w:type="spellStart"/>
      <w:r w:rsidRPr="00310524">
        <w:rPr>
          <w:rFonts w:ascii="Times New Roman" w:eastAsia="Times New Roman" w:hAnsi="Times New Roman" w:cs="Times New Roman"/>
          <w:color w:val="222222"/>
          <w:sz w:val="24"/>
          <w:szCs w:val="24"/>
          <w:highlight w:val="white"/>
        </w:rPr>
        <w:t>Laskowski</w:t>
      </w:r>
      <w:proofErr w:type="spellEnd"/>
      <w:r w:rsidRPr="00310524">
        <w:rPr>
          <w:rFonts w:ascii="Times New Roman" w:eastAsia="Times New Roman" w:hAnsi="Times New Roman" w:cs="Times New Roman"/>
          <w:color w:val="222222"/>
          <w:sz w:val="24"/>
          <w:szCs w:val="24"/>
          <w:highlight w:val="white"/>
        </w:rPr>
        <w:t xml:space="preserve">, Dennis A. (2002) "Physical and chemical properties of pyrethroids." </w:t>
      </w:r>
      <w:r w:rsidRPr="00310524">
        <w:rPr>
          <w:rFonts w:ascii="Times New Roman" w:eastAsia="Times New Roman" w:hAnsi="Times New Roman" w:cs="Times New Roman"/>
          <w:i/>
          <w:color w:val="222222"/>
          <w:sz w:val="24"/>
          <w:szCs w:val="24"/>
        </w:rPr>
        <w:t>Reviews of environmental contamination and toxicology</w:t>
      </w:r>
      <w:r w:rsidRPr="00310524">
        <w:rPr>
          <w:rFonts w:ascii="Times New Roman" w:eastAsia="Times New Roman" w:hAnsi="Times New Roman" w:cs="Times New Roman"/>
          <w:color w:val="222222"/>
          <w:sz w:val="24"/>
          <w:szCs w:val="24"/>
          <w:highlight w:val="white"/>
        </w:rPr>
        <w:t>. Springer, New York. 49-170.</w:t>
      </w:r>
    </w:p>
    <w:p w14:paraId="3E0EF6EB" w14:textId="77777777" w:rsidR="00170E20" w:rsidRPr="00310524" w:rsidRDefault="00170E20">
      <w:pPr>
        <w:spacing w:line="240" w:lineRule="auto"/>
        <w:rPr>
          <w:rFonts w:ascii="Times New Roman" w:eastAsia="Times New Roman" w:hAnsi="Times New Roman" w:cs="Times New Roman"/>
          <w:sz w:val="24"/>
          <w:szCs w:val="24"/>
        </w:rPr>
      </w:pPr>
    </w:p>
    <w:p w14:paraId="5F2368D7"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Li, J., Luo, F., Liu, L., </w:t>
      </w:r>
      <w:proofErr w:type="spellStart"/>
      <w:r w:rsidRPr="00310524">
        <w:rPr>
          <w:rFonts w:ascii="Times New Roman" w:eastAsia="Times New Roman" w:hAnsi="Times New Roman" w:cs="Times New Roman"/>
          <w:sz w:val="24"/>
          <w:szCs w:val="24"/>
        </w:rPr>
        <w:t>Ruan</w:t>
      </w:r>
      <w:proofErr w:type="spellEnd"/>
      <w:r w:rsidRPr="00310524">
        <w:rPr>
          <w:rFonts w:ascii="Times New Roman" w:eastAsia="Times New Roman" w:hAnsi="Times New Roman" w:cs="Times New Roman"/>
          <w:sz w:val="24"/>
          <w:szCs w:val="24"/>
        </w:rPr>
        <w:t xml:space="preserve">, J., &amp; Wang, N. (2017). Exposure to bifenthrin disrupts the development of testis in male </w:t>
      </w:r>
      <w:proofErr w:type="spellStart"/>
      <w:r w:rsidRPr="00310524">
        <w:rPr>
          <w:rFonts w:ascii="Times New Roman" w:eastAsia="Times New Roman" w:hAnsi="Times New Roman" w:cs="Times New Roman"/>
          <w:sz w:val="24"/>
          <w:szCs w:val="24"/>
        </w:rPr>
        <w:t>Sebastiscus</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marmoratus</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i/>
          <w:sz w:val="24"/>
          <w:szCs w:val="24"/>
        </w:rPr>
        <w:t>Acta</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Oceanologica</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Sinica</w:t>
      </w:r>
      <w:proofErr w:type="spellEnd"/>
      <w:r w:rsidRPr="00310524">
        <w:rPr>
          <w:rFonts w:ascii="Times New Roman" w:eastAsia="Times New Roman" w:hAnsi="Times New Roman" w:cs="Times New Roman"/>
          <w:sz w:val="24"/>
          <w:szCs w:val="24"/>
        </w:rPr>
        <w:t xml:space="preserve">, </w:t>
      </w:r>
      <w:r w:rsidRPr="00310524">
        <w:rPr>
          <w:rFonts w:ascii="Times New Roman" w:eastAsia="Times New Roman" w:hAnsi="Times New Roman" w:cs="Times New Roman"/>
          <w:i/>
          <w:sz w:val="24"/>
          <w:szCs w:val="24"/>
        </w:rPr>
        <w:t>36</w:t>
      </w:r>
      <w:r w:rsidRPr="00310524">
        <w:rPr>
          <w:rFonts w:ascii="Times New Roman" w:eastAsia="Times New Roman" w:hAnsi="Times New Roman" w:cs="Times New Roman"/>
          <w:sz w:val="24"/>
          <w:szCs w:val="24"/>
        </w:rPr>
        <w:t>(2), 57–61. https://doi.org/10.1007/s13131-017-1001-7</w:t>
      </w:r>
    </w:p>
    <w:p w14:paraId="6C79E748" w14:textId="77777777" w:rsidR="00170E20" w:rsidRPr="00310524" w:rsidRDefault="00170E20">
      <w:pPr>
        <w:spacing w:line="240" w:lineRule="auto"/>
        <w:rPr>
          <w:rFonts w:ascii="Times New Roman" w:eastAsia="Times New Roman" w:hAnsi="Times New Roman" w:cs="Times New Roman"/>
          <w:sz w:val="24"/>
          <w:szCs w:val="24"/>
        </w:rPr>
      </w:pPr>
    </w:p>
    <w:p w14:paraId="1BAA9392" w14:textId="77777777" w:rsidR="00170E20" w:rsidRPr="00310524" w:rsidRDefault="005D4F94">
      <w:pPr>
        <w:rPr>
          <w:rFonts w:ascii="Times New Roman" w:eastAsia="Times New Roman" w:hAnsi="Times New Roman" w:cs="Times New Roman"/>
          <w:sz w:val="24"/>
          <w:szCs w:val="24"/>
        </w:rPr>
      </w:pPr>
      <w:proofErr w:type="spellStart"/>
      <w:r w:rsidRPr="00310524">
        <w:rPr>
          <w:rFonts w:ascii="Times New Roman" w:eastAsia="Times New Roman" w:hAnsi="Times New Roman" w:cs="Times New Roman"/>
          <w:sz w:val="24"/>
          <w:szCs w:val="24"/>
        </w:rPr>
        <w:t>Magnhagen</w:t>
      </w:r>
      <w:proofErr w:type="spellEnd"/>
      <w:r w:rsidRPr="00310524">
        <w:rPr>
          <w:rFonts w:ascii="Times New Roman" w:eastAsia="Times New Roman" w:hAnsi="Times New Roman" w:cs="Times New Roman"/>
          <w:sz w:val="24"/>
          <w:szCs w:val="24"/>
        </w:rPr>
        <w:t xml:space="preserve">, C., and A. M. </w:t>
      </w:r>
      <w:proofErr w:type="spellStart"/>
      <w:r w:rsidRPr="00310524">
        <w:rPr>
          <w:rFonts w:ascii="Times New Roman" w:eastAsia="Times New Roman" w:hAnsi="Times New Roman" w:cs="Times New Roman"/>
          <w:sz w:val="24"/>
          <w:szCs w:val="24"/>
        </w:rPr>
        <w:t>Wiederholm</w:t>
      </w:r>
      <w:proofErr w:type="spellEnd"/>
      <w:r w:rsidRPr="00310524">
        <w:rPr>
          <w:rFonts w:ascii="Times New Roman" w:eastAsia="Times New Roman" w:hAnsi="Times New Roman" w:cs="Times New Roman"/>
          <w:sz w:val="24"/>
          <w:szCs w:val="24"/>
        </w:rPr>
        <w:t xml:space="preserve">. (1982). Habitat and food preferences of </w:t>
      </w:r>
      <w:proofErr w:type="spellStart"/>
      <w:r w:rsidRPr="00310524">
        <w:rPr>
          <w:rFonts w:ascii="Times New Roman" w:eastAsia="Times New Roman" w:hAnsi="Times New Roman" w:cs="Times New Roman"/>
          <w:i/>
          <w:sz w:val="24"/>
          <w:szCs w:val="24"/>
        </w:rPr>
        <w:t>Pomatoschistus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minutus</w:t>
      </w:r>
      <w:proofErr w:type="spellEnd"/>
      <w:r w:rsidRPr="00310524">
        <w:rPr>
          <w:rFonts w:ascii="Times New Roman" w:eastAsia="Times New Roman" w:hAnsi="Times New Roman" w:cs="Times New Roman"/>
          <w:i/>
          <w:sz w:val="24"/>
          <w:szCs w:val="24"/>
        </w:rPr>
        <w:t xml:space="preserve"> </w:t>
      </w:r>
      <w:r w:rsidRPr="00310524">
        <w:rPr>
          <w:rFonts w:ascii="Times New Roman" w:eastAsia="Times New Roman" w:hAnsi="Times New Roman" w:cs="Times New Roman"/>
          <w:sz w:val="24"/>
          <w:szCs w:val="24"/>
        </w:rPr>
        <w:t xml:space="preserve">and </w:t>
      </w:r>
      <w:r w:rsidRPr="00310524">
        <w:rPr>
          <w:rFonts w:ascii="Times New Roman" w:eastAsia="Times New Roman" w:hAnsi="Times New Roman" w:cs="Times New Roman"/>
          <w:i/>
          <w:sz w:val="24"/>
          <w:szCs w:val="24"/>
        </w:rPr>
        <w:t xml:space="preserve">P. </w:t>
      </w:r>
      <w:proofErr w:type="spellStart"/>
      <w:r w:rsidRPr="00310524">
        <w:rPr>
          <w:rFonts w:ascii="Times New Roman" w:eastAsia="Times New Roman" w:hAnsi="Times New Roman" w:cs="Times New Roman"/>
          <w:i/>
          <w:sz w:val="24"/>
          <w:szCs w:val="24"/>
        </w:rPr>
        <w:t>microps</w:t>
      </w:r>
      <w:proofErr w:type="spellEnd"/>
      <w:r w:rsidRPr="00310524">
        <w:rPr>
          <w:rFonts w:ascii="Times New Roman" w:eastAsia="Times New Roman" w:hAnsi="Times New Roman" w:cs="Times New Roman"/>
          <w:i/>
          <w:sz w:val="24"/>
          <w:szCs w:val="24"/>
        </w:rPr>
        <w:t xml:space="preserve"> </w:t>
      </w:r>
      <w:r w:rsidRPr="00310524">
        <w:rPr>
          <w:rFonts w:ascii="Times New Roman" w:eastAsia="Times New Roman" w:hAnsi="Times New Roman" w:cs="Times New Roman"/>
          <w:sz w:val="24"/>
          <w:szCs w:val="24"/>
        </w:rPr>
        <w:t>(</w:t>
      </w:r>
      <w:proofErr w:type="spellStart"/>
      <w:r w:rsidRPr="00310524">
        <w:rPr>
          <w:rFonts w:ascii="Times New Roman" w:eastAsia="Times New Roman" w:hAnsi="Times New Roman" w:cs="Times New Roman"/>
          <w:sz w:val="24"/>
          <w:szCs w:val="24"/>
        </w:rPr>
        <w:t>Gobiidae</w:t>
      </w:r>
      <w:proofErr w:type="spellEnd"/>
      <w:r w:rsidRPr="00310524">
        <w:rPr>
          <w:rFonts w:ascii="Times New Roman" w:eastAsia="Times New Roman" w:hAnsi="Times New Roman" w:cs="Times New Roman"/>
          <w:sz w:val="24"/>
          <w:szCs w:val="24"/>
        </w:rPr>
        <w:t xml:space="preserve">) when alone and together: an experimental study. </w:t>
      </w:r>
      <w:proofErr w:type="spellStart"/>
      <w:r w:rsidRPr="00310524">
        <w:rPr>
          <w:rFonts w:ascii="Times New Roman" w:eastAsia="Times New Roman" w:hAnsi="Times New Roman" w:cs="Times New Roman"/>
          <w:sz w:val="24"/>
          <w:szCs w:val="24"/>
        </w:rPr>
        <w:t>Oikos</w:t>
      </w:r>
      <w:proofErr w:type="spellEnd"/>
      <w:r w:rsidRPr="00310524">
        <w:rPr>
          <w:rFonts w:ascii="Times New Roman" w:eastAsia="Times New Roman" w:hAnsi="Times New Roman" w:cs="Times New Roman"/>
          <w:sz w:val="24"/>
          <w:szCs w:val="24"/>
        </w:rPr>
        <w:t xml:space="preserve"> 39:152-156.</w:t>
      </w:r>
    </w:p>
    <w:p w14:paraId="79EBF66B" w14:textId="77777777" w:rsidR="00170E20" w:rsidRPr="00310524" w:rsidRDefault="00170E20">
      <w:pPr>
        <w:rPr>
          <w:rFonts w:ascii="Times New Roman" w:eastAsia="Times New Roman" w:hAnsi="Times New Roman" w:cs="Times New Roman"/>
          <w:sz w:val="24"/>
          <w:szCs w:val="24"/>
        </w:rPr>
      </w:pPr>
    </w:p>
    <w:p w14:paraId="6C59516B"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Marek, J. (2011). Toxicity of Pyrethroids to the Endangered Tidewater Goby (</w:t>
      </w:r>
      <w:proofErr w:type="spellStart"/>
      <w:r w:rsidRPr="00310524">
        <w:rPr>
          <w:rFonts w:ascii="Times New Roman" w:eastAsia="Times New Roman" w:hAnsi="Times New Roman" w:cs="Times New Roman"/>
          <w:sz w:val="24"/>
          <w:szCs w:val="24"/>
        </w:rPr>
        <w:t>Eucyclogobius</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newberryi</w:t>
      </w:r>
      <w:proofErr w:type="spellEnd"/>
      <w:r w:rsidRPr="00310524">
        <w:rPr>
          <w:rFonts w:ascii="Times New Roman" w:eastAsia="Times New Roman" w:hAnsi="Times New Roman" w:cs="Times New Roman"/>
          <w:sz w:val="24"/>
          <w:szCs w:val="24"/>
        </w:rPr>
        <w:t xml:space="preserve">): an analysis of pyrethroid sediment toxicity and identification of management solutions to protect tidewater gobies (No. FY12 Environmental Contaminants Program Off-Refuge Investigations </w:t>
      </w:r>
      <w:proofErr w:type="spellStart"/>
      <w:r w:rsidRPr="00310524">
        <w:rPr>
          <w:rFonts w:ascii="Times New Roman" w:eastAsia="Times New Roman" w:hAnsi="Times New Roman" w:cs="Times New Roman"/>
          <w:sz w:val="24"/>
          <w:szCs w:val="24"/>
        </w:rPr>
        <w:t>Subactivity</w:t>
      </w:r>
      <w:proofErr w:type="spellEnd"/>
      <w:r w:rsidRPr="00310524">
        <w:rPr>
          <w:rFonts w:ascii="Times New Roman" w:eastAsia="Times New Roman" w:hAnsi="Times New Roman" w:cs="Times New Roman"/>
          <w:sz w:val="24"/>
          <w:szCs w:val="24"/>
        </w:rPr>
        <w:t xml:space="preserve">). Ventura Field Office: Department of the </w:t>
      </w:r>
      <w:proofErr w:type="gramStart"/>
      <w:r w:rsidRPr="00310524">
        <w:rPr>
          <w:rFonts w:ascii="Times New Roman" w:eastAsia="Times New Roman" w:hAnsi="Times New Roman" w:cs="Times New Roman"/>
          <w:sz w:val="24"/>
          <w:szCs w:val="24"/>
        </w:rPr>
        <w:t>Interior  U.S.</w:t>
      </w:r>
      <w:proofErr w:type="gramEnd"/>
      <w:r w:rsidRPr="00310524">
        <w:rPr>
          <w:rFonts w:ascii="Times New Roman" w:eastAsia="Times New Roman" w:hAnsi="Times New Roman" w:cs="Times New Roman"/>
          <w:sz w:val="24"/>
          <w:szCs w:val="24"/>
        </w:rPr>
        <w:t xml:space="preserve"> Fish and Wildlife Service.</w:t>
      </w:r>
    </w:p>
    <w:p w14:paraId="39955B1A" w14:textId="77777777" w:rsidR="00170E20" w:rsidRPr="00310524" w:rsidRDefault="00170E20">
      <w:pPr>
        <w:rPr>
          <w:rFonts w:ascii="Times New Roman" w:eastAsia="Times New Roman" w:hAnsi="Times New Roman" w:cs="Times New Roman"/>
          <w:sz w:val="24"/>
          <w:szCs w:val="24"/>
        </w:rPr>
      </w:pPr>
    </w:p>
    <w:p w14:paraId="31D4B73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Miller, D.J., and R.N. Lea. 1972. Guide to the coastal marine fishes of</w:t>
      </w:r>
    </w:p>
    <w:p w14:paraId="48854006"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California. California Department of Fish and Game Bulletin 157.</w:t>
      </w:r>
    </w:p>
    <w:p w14:paraId="3AF602DE" w14:textId="77777777" w:rsidR="00170E20" w:rsidRPr="00310524" w:rsidRDefault="00170E20">
      <w:pPr>
        <w:spacing w:line="240" w:lineRule="auto"/>
        <w:rPr>
          <w:rFonts w:ascii="Times New Roman" w:eastAsia="Times New Roman" w:hAnsi="Times New Roman" w:cs="Times New Roman"/>
          <w:sz w:val="24"/>
          <w:szCs w:val="24"/>
        </w:rPr>
      </w:pPr>
    </w:p>
    <w:p w14:paraId="0AD8CC94"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Moyle, P.B. (2002). Inland Fishes of California revised and expanded. University</w:t>
      </w:r>
    </w:p>
    <w:p w14:paraId="3A2CF9A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of California Press, Berkeley, California. 502 + xv pp.</w:t>
      </w:r>
    </w:p>
    <w:p w14:paraId="6A720B67" w14:textId="77777777" w:rsidR="00170E20" w:rsidRPr="00310524" w:rsidRDefault="00170E20">
      <w:pPr>
        <w:spacing w:line="240" w:lineRule="auto"/>
        <w:rPr>
          <w:rFonts w:ascii="Times New Roman" w:eastAsia="Times New Roman" w:hAnsi="Times New Roman" w:cs="Times New Roman"/>
          <w:sz w:val="24"/>
          <w:szCs w:val="24"/>
        </w:rPr>
      </w:pPr>
    </w:p>
    <w:p w14:paraId="342C4DCD" w14:textId="77777777" w:rsidR="00170E20" w:rsidRPr="00310524" w:rsidRDefault="005D4F94">
      <w:pPr>
        <w:spacing w:line="240" w:lineRule="auto"/>
        <w:rPr>
          <w:rFonts w:ascii="Times New Roman" w:eastAsia="Times New Roman" w:hAnsi="Times New Roman" w:cs="Times New Roman"/>
          <w:sz w:val="24"/>
          <w:szCs w:val="24"/>
          <w:highlight w:val="white"/>
        </w:rPr>
      </w:pPr>
      <w:proofErr w:type="spellStart"/>
      <w:r w:rsidRPr="00310524">
        <w:rPr>
          <w:rFonts w:ascii="Times New Roman" w:eastAsia="Times New Roman" w:hAnsi="Times New Roman" w:cs="Times New Roman"/>
          <w:sz w:val="24"/>
          <w:szCs w:val="24"/>
          <w:highlight w:val="white"/>
        </w:rPr>
        <w:t>Mulla</w:t>
      </w:r>
      <w:proofErr w:type="spellEnd"/>
      <w:r w:rsidRPr="00310524">
        <w:rPr>
          <w:rFonts w:ascii="Times New Roman" w:eastAsia="Times New Roman" w:hAnsi="Times New Roman" w:cs="Times New Roman"/>
          <w:sz w:val="24"/>
          <w:szCs w:val="24"/>
          <w:highlight w:val="white"/>
        </w:rPr>
        <w:t xml:space="preserve">, M. S., </w:t>
      </w:r>
      <w:proofErr w:type="spellStart"/>
      <w:r w:rsidRPr="00310524">
        <w:rPr>
          <w:rFonts w:ascii="Times New Roman" w:eastAsia="Times New Roman" w:hAnsi="Times New Roman" w:cs="Times New Roman"/>
          <w:sz w:val="24"/>
          <w:szCs w:val="24"/>
          <w:highlight w:val="white"/>
        </w:rPr>
        <w:t>Navvab-Gojrati</w:t>
      </w:r>
      <w:proofErr w:type="spellEnd"/>
      <w:r w:rsidRPr="00310524">
        <w:rPr>
          <w:rFonts w:ascii="Times New Roman" w:eastAsia="Times New Roman" w:hAnsi="Times New Roman" w:cs="Times New Roman"/>
          <w:sz w:val="24"/>
          <w:szCs w:val="24"/>
          <w:highlight w:val="white"/>
        </w:rPr>
        <w:t xml:space="preserve">, H. A., &amp; </w:t>
      </w:r>
      <w:proofErr w:type="spellStart"/>
      <w:r w:rsidRPr="00310524">
        <w:rPr>
          <w:rFonts w:ascii="Times New Roman" w:eastAsia="Times New Roman" w:hAnsi="Times New Roman" w:cs="Times New Roman"/>
          <w:sz w:val="24"/>
          <w:szCs w:val="24"/>
          <w:highlight w:val="white"/>
        </w:rPr>
        <w:t>Darwazeh</w:t>
      </w:r>
      <w:proofErr w:type="spellEnd"/>
      <w:r w:rsidRPr="00310524">
        <w:rPr>
          <w:rFonts w:ascii="Times New Roman" w:eastAsia="Times New Roman" w:hAnsi="Times New Roman" w:cs="Times New Roman"/>
          <w:sz w:val="24"/>
          <w:szCs w:val="24"/>
          <w:highlight w:val="white"/>
        </w:rPr>
        <w:t xml:space="preserve">, H. A. (1978). Toxicity of mosquito </w:t>
      </w:r>
      <w:proofErr w:type="spellStart"/>
      <w:r w:rsidRPr="00310524">
        <w:rPr>
          <w:rFonts w:ascii="Times New Roman" w:eastAsia="Times New Roman" w:hAnsi="Times New Roman" w:cs="Times New Roman"/>
          <w:sz w:val="24"/>
          <w:szCs w:val="24"/>
          <w:highlight w:val="white"/>
        </w:rPr>
        <w:t>larvicidal</w:t>
      </w:r>
      <w:proofErr w:type="spellEnd"/>
      <w:r w:rsidRPr="00310524">
        <w:rPr>
          <w:rFonts w:ascii="Times New Roman" w:eastAsia="Times New Roman" w:hAnsi="Times New Roman" w:cs="Times New Roman"/>
          <w:sz w:val="24"/>
          <w:szCs w:val="24"/>
          <w:highlight w:val="white"/>
        </w:rPr>
        <w:t xml:space="preserve"> pyrethroids to four species of freshwater fishes. </w:t>
      </w:r>
      <w:r w:rsidRPr="00310524">
        <w:rPr>
          <w:rFonts w:ascii="Times New Roman" w:eastAsia="Times New Roman" w:hAnsi="Times New Roman" w:cs="Times New Roman"/>
          <w:i/>
          <w:sz w:val="24"/>
          <w:szCs w:val="24"/>
          <w:highlight w:val="white"/>
        </w:rPr>
        <w:t>Environmental entomology</w:t>
      </w:r>
      <w:r w:rsidRPr="00310524">
        <w:rPr>
          <w:rFonts w:ascii="Times New Roman" w:eastAsia="Times New Roman" w:hAnsi="Times New Roman" w:cs="Times New Roman"/>
          <w:sz w:val="24"/>
          <w:szCs w:val="24"/>
          <w:highlight w:val="white"/>
        </w:rPr>
        <w:t>.</w:t>
      </w:r>
    </w:p>
    <w:p w14:paraId="22B19415"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118A9E9B" w14:textId="77777777" w:rsidR="00170E20" w:rsidRPr="00310524" w:rsidRDefault="005D4F94">
      <w:pPr>
        <w:rPr>
          <w:rFonts w:ascii="Times New Roman" w:eastAsia="Times New Roman" w:hAnsi="Times New Roman" w:cs="Times New Roman"/>
          <w:sz w:val="24"/>
          <w:szCs w:val="24"/>
          <w:highlight w:val="white"/>
        </w:rPr>
      </w:pPr>
      <w:r w:rsidRPr="00310524">
        <w:rPr>
          <w:rFonts w:ascii="Times New Roman" w:eastAsia="Times New Roman" w:hAnsi="Times New Roman" w:cs="Times New Roman"/>
          <w:sz w:val="24"/>
          <w:szCs w:val="24"/>
        </w:rPr>
        <w:t xml:space="preserve">Pyrethrins and Pyrethroids. (2016). Retrieved from </w:t>
      </w:r>
      <w:hyperlink r:id="rId39">
        <w:r w:rsidRPr="00310524">
          <w:rPr>
            <w:rFonts w:ascii="Times New Roman" w:eastAsia="Times New Roman" w:hAnsi="Times New Roman" w:cs="Times New Roman"/>
            <w:color w:val="1155CC"/>
            <w:sz w:val="24"/>
            <w:szCs w:val="24"/>
            <w:u w:val="single"/>
          </w:rPr>
          <w:t>https://www.epa.gov/ingredients-used-pesticide-products/pyrethrins-and-pyrethroids</w:t>
        </w:r>
      </w:hyperlink>
    </w:p>
    <w:p w14:paraId="0DF363E6"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4D4C1BE3"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 xml:space="preserve">Ruby, A. (2013). Review of pyrethroid, </w:t>
      </w:r>
      <w:proofErr w:type="spellStart"/>
      <w:r w:rsidRPr="00310524">
        <w:rPr>
          <w:rFonts w:ascii="Times New Roman" w:eastAsia="Times New Roman" w:hAnsi="Times New Roman" w:cs="Times New Roman"/>
          <w:color w:val="222222"/>
          <w:sz w:val="24"/>
          <w:szCs w:val="24"/>
          <w:highlight w:val="white"/>
        </w:rPr>
        <w:t>fipronil</w:t>
      </w:r>
      <w:proofErr w:type="spellEnd"/>
      <w:r w:rsidRPr="00310524">
        <w:rPr>
          <w:rFonts w:ascii="Times New Roman" w:eastAsia="Times New Roman" w:hAnsi="Times New Roman" w:cs="Times New Roman"/>
          <w:color w:val="222222"/>
          <w:sz w:val="24"/>
          <w:szCs w:val="24"/>
          <w:highlight w:val="white"/>
        </w:rPr>
        <w:t xml:space="preserve"> and toxicity monitoring data from California urban watersheds. </w:t>
      </w:r>
      <w:r w:rsidRPr="00310524">
        <w:rPr>
          <w:rFonts w:ascii="Times New Roman" w:eastAsia="Times New Roman" w:hAnsi="Times New Roman" w:cs="Times New Roman"/>
          <w:i/>
          <w:color w:val="222222"/>
          <w:sz w:val="24"/>
          <w:szCs w:val="24"/>
          <w:highlight w:val="white"/>
        </w:rPr>
        <w:t>Prepared for the California Stormwater Quality Association (CASQA). Armand Ruby Consulting</w:t>
      </w:r>
      <w:r w:rsidRPr="00310524">
        <w:rPr>
          <w:rFonts w:ascii="Times New Roman" w:eastAsia="Times New Roman" w:hAnsi="Times New Roman" w:cs="Times New Roman"/>
          <w:color w:val="222222"/>
          <w:sz w:val="24"/>
          <w:szCs w:val="24"/>
          <w:highlight w:val="white"/>
        </w:rPr>
        <w:t>.</w:t>
      </w:r>
    </w:p>
    <w:p w14:paraId="7BD6A92E" w14:textId="77777777" w:rsidR="00170E20" w:rsidRPr="00310524" w:rsidRDefault="005D4F94">
      <w:pPr>
        <w:rPr>
          <w:rFonts w:ascii="Times New Roman" w:eastAsia="Times New Roman" w:hAnsi="Times New Roman" w:cs="Times New Roman"/>
          <w:color w:val="1155CC"/>
          <w:sz w:val="24"/>
          <w:szCs w:val="24"/>
          <w:highlight w:val="white"/>
          <w:u w:val="single"/>
        </w:rPr>
      </w:pPr>
      <w:hyperlink r:id="rId40">
        <w:r w:rsidRPr="00310524">
          <w:rPr>
            <w:rFonts w:ascii="Times New Roman" w:eastAsia="Times New Roman" w:hAnsi="Times New Roman" w:cs="Times New Roman"/>
            <w:color w:val="1155CC"/>
            <w:sz w:val="24"/>
            <w:szCs w:val="24"/>
            <w:highlight w:val="white"/>
            <w:u w:val="single"/>
          </w:rPr>
          <w:t>https://www.casqa.org/sites/default/files/library/technical-reports/casqa_review_of_pyrethroid_fipronil_and_toxicity_monitoring_data_-_july_2013.pdf</w:t>
        </w:r>
      </w:hyperlink>
    </w:p>
    <w:p w14:paraId="7525421E"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31667535" w14:textId="77777777" w:rsidR="00170E20" w:rsidRPr="00310524" w:rsidRDefault="00170E20">
      <w:pPr>
        <w:spacing w:line="240" w:lineRule="auto"/>
        <w:rPr>
          <w:rFonts w:ascii="Times New Roman" w:eastAsia="Times New Roman" w:hAnsi="Times New Roman" w:cs="Times New Roman"/>
          <w:sz w:val="24"/>
          <w:szCs w:val="24"/>
          <w:highlight w:val="white"/>
        </w:rPr>
      </w:pPr>
    </w:p>
    <w:p w14:paraId="42AB32EB"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color w:val="222222"/>
          <w:sz w:val="24"/>
          <w:szCs w:val="24"/>
          <w:highlight w:val="white"/>
        </w:rPr>
        <w:t>Spurlock, F., &amp; Lee, M. (2008). Synthetic pyrethroid use patterns, properties, and environmental effects.</w:t>
      </w:r>
    </w:p>
    <w:p w14:paraId="3CCD31D8" w14:textId="77777777" w:rsidR="00170E20" w:rsidRPr="00310524" w:rsidRDefault="00170E20">
      <w:pPr>
        <w:rPr>
          <w:rFonts w:ascii="Times New Roman" w:eastAsia="Times New Roman" w:hAnsi="Times New Roman" w:cs="Times New Roman"/>
          <w:color w:val="222222"/>
          <w:sz w:val="24"/>
          <w:szCs w:val="24"/>
          <w:highlight w:val="white"/>
        </w:rPr>
      </w:pPr>
    </w:p>
    <w:p w14:paraId="26FE0875" w14:textId="77777777" w:rsidR="00170E20" w:rsidRPr="00310524" w:rsidRDefault="005D4F94">
      <w:pPr>
        <w:rPr>
          <w:rFonts w:ascii="Times New Roman" w:eastAsia="Times New Roman" w:hAnsi="Times New Roman" w:cs="Times New Roman"/>
          <w:color w:val="222222"/>
          <w:sz w:val="24"/>
          <w:szCs w:val="24"/>
          <w:highlight w:val="white"/>
        </w:rPr>
      </w:pPr>
      <w:r w:rsidRPr="00310524">
        <w:rPr>
          <w:rFonts w:ascii="Times New Roman" w:eastAsia="Times New Roman" w:hAnsi="Times New Roman" w:cs="Times New Roman"/>
          <w:sz w:val="24"/>
          <w:szCs w:val="24"/>
        </w:rPr>
        <w:t xml:space="preserve">Surface Water Ambient Monitoring Program (SWAMP). (2017). Retrieved from </w:t>
      </w:r>
      <w:hyperlink r:id="rId41">
        <w:r w:rsidRPr="00310524">
          <w:rPr>
            <w:rFonts w:ascii="Times New Roman" w:eastAsia="Times New Roman" w:hAnsi="Times New Roman" w:cs="Times New Roman"/>
            <w:color w:val="1155CC"/>
            <w:sz w:val="24"/>
            <w:szCs w:val="24"/>
            <w:u w:val="single"/>
          </w:rPr>
          <w:t>http://www.waterboards.ca.gov/water_issues/programs/swamp/spot/</w:t>
        </w:r>
      </w:hyperlink>
    </w:p>
    <w:p w14:paraId="7A9733F0" w14:textId="77777777" w:rsidR="00170E20" w:rsidRPr="00310524" w:rsidRDefault="00170E20">
      <w:pPr>
        <w:spacing w:line="240" w:lineRule="auto"/>
        <w:rPr>
          <w:rFonts w:ascii="Times New Roman" w:eastAsia="Times New Roman" w:hAnsi="Times New Roman" w:cs="Times New Roman"/>
          <w:sz w:val="24"/>
          <w:szCs w:val="24"/>
        </w:rPr>
      </w:pPr>
    </w:p>
    <w:p w14:paraId="15B06A50"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Swenson, </w:t>
      </w:r>
      <w:proofErr w:type="spellStart"/>
      <w:proofErr w:type="gramStart"/>
      <w:r w:rsidRPr="00310524">
        <w:rPr>
          <w:rFonts w:ascii="Times New Roman" w:eastAsia="Times New Roman" w:hAnsi="Times New Roman" w:cs="Times New Roman"/>
          <w:sz w:val="24"/>
          <w:szCs w:val="24"/>
        </w:rPr>
        <w:t>R.O.,and</w:t>
      </w:r>
      <w:proofErr w:type="spellEnd"/>
      <w:proofErr w:type="gramEnd"/>
      <w:r w:rsidRPr="00310524">
        <w:rPr>
          <w:rFonts w:ascii="Times New Roman" w:eastAsia="Times New Roman" w:hAnsi="Times New Roman" w:cs="Times New Roman"/>
          <w:sz w:val="24"/>
          <w:szCs w:val="24"/>
        </w:rPr>
        <w:t xml:space="preserve"> S.A. </w:t>
      </w:r>
      <w:proofErr w:type="spellStart"/>
      <w:r w:rsidRPr="00310524">
        <w:rPr>
          <w:rFonts w:ascii="Times New Roman" w:eastAsia="Times New Roman" w:hAnsi="Times New Roman" w:cs="Times New Roman"/>
          <w:sz w:val="24"/>
          <w:szCs w:val="24"/>
        </w:rPr>
        <w:t>Matern</w:t>
      </w:r>
      <w:proofErr w:type="spellEnd"/>
      <w:r w:rsidRPr="00310524">
        <w:rPr>
          <w:rFonts w:ascii="Times New Roman" w:eastAsia="Times New Roman" w:hAnsi="Times New Roman" w:cs="Times New Roman"/>
          <w:sz w:val="24"/>
          <w:szCs w:val="24"/>
        </w:rPr>
        <w:t>. (1995). Interactions between two estuarine</w:t>
      </w:r>
    </w:p>
    <w:p w14:paraId="2BEB36BC"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gobies, the endangered tidewater 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sz w:val="24"/>
          <w:szCs w:val="24"/>
        </w:rPr>
        <w:t>) and a</w:t>
      </w:r>
    </w:p>
    <w:p w14:paraId="799FA28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recent invader, the </w:t>
      </w:r>
      <w:proofErr w:type="spellStart"/>
      <w:r w:rsidRPr="00310524">
        <w:rPr>
          <w:rFonts w:ascii="Times New Roman" w:eastAsia="Times New Roman" w:hAnsi="Times New Roman" w:cs="Times New Roman"/>
          <w:sz w:val="24"/>
          <w:szCs w:val="24"/>
        </w:rPr>
        <w:t>shimofuri</w:t>
      </w:r>
      <w:proofErr w:type="spellEnd"/>
      <w:r w:rsidRPr="00310524">
        <w:rPr>
          <w:rFonts w:ascii="Times New Roman" w:eastAsia="Times New Roman" w:hAnsi="Times New Roman" w:cs="Times New Roman"/>
          <w:sz w:val="24"/>
          <w:szCs w:val="24"/>
        </w:rPr>
        <w:t xml:space="preserve"> goby (</w:t>
      </w:r>
      <w:proofErr w:type="spellStart"/>
      <w:r w:rsidRPr="00310524">
        <w:rPr>
          <w:rFonts w:ascii="Times New Roman" w:eastAsia="Times New Roman" w:hAnsi="Times New Roman" w:cs="Times New Roman"/>
          <w:i/>
          <w:sz w:val="24"/>
          <w:szCs w:val="24"/>
        </w:rPr>
        <w:t>Tridentiger</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bifasciatus</w:t>
      </w:r>
      <w:proofErr w:type="spellEnd"/>
      <w:r w:rsidRPr="00310524">
        <w:rPr>
          <w:rFonts w:ascii="Times New Roman" w:eastAsia="Times New Roman" w:hAnsi="Times New Roman" w:cs="Times New Roman"/>
          <w:sz w:val="24"/>
          <w:szCs w:val="24"/>
        </w:rPr>
        <w:t>). Presented,</w:t>
      </w:r>
    </w:p>
    <w:p w14:paraId="7C2C4719"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Cal-Neva Chapter American Fisheries Society, Napa, California, 3</w:t>
      </w:r>
    </w:p>
    <w:p w14:paraId="49B093BA"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February 1995.</w:t>
      </w:r>
    </w:p>
    <w:p w14:paraId="162013F9" w14:textId="77777777" w:rsidR="00170E20" w:rsidRPr="00310524" w:rsidRDefault="00170E20">
      <w:pPr>
        <w:spacing w:line="240" w:lineRule="auto"/>
        <w:rPr>
          <w:rFonts w:ascii="Times New Roman" w:eastAsia="Times New Roman" w:hAnsi="Times New Roman" w:cs="Times New Roman"/>
          <w:sz w:val="24"/>
          <w:szCs w:val="24"/>
        </w:rPr>
      </w:pPr>
    </w:p>
    <w:p w14:paraId="67AB0348"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Swenson, R.O. and McCray, A.T., (1996). Feeding ecology of the tidewater goby. Transactions of the American Fisheries Society, 125(6), pp.956-970.</w:t>
      </w:r>
    </w:p>
    <w:p w14:paraId="26A9DA78" w14:textId="77777777" w:rsidR="00170E20" w:rsidRPr="00310524" w:rsidRDefault="00170E20">
      <w:pPr>
        <w:spacing w:line="240" w:lineRule="auto"/>
        <w:rPr>
          <w:rFonts w:ascii="Times New Roman" w:eastAsia="Times New Roman" w:hAnsi="Times New Roman" w:cs="Times New Roman"/>
          <w:sz w:val="24"/>
          <w:szCs w:val="24"/>
        </w:rPr>
      </w:pPr>
    </w:p>
    <w:p w14:paraId="5D2EE3F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Swenson, R.O. (1999). The ecology, behavior, and conservation of the tidewater</w:t>
      </w:r>
    </w:p>
    <w:p w14:paraId="6AED5C2A"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sz w:val="24"/>
          <w:szCs w:val="24"/>
        </w:rPr>
        <w:t>. Environmental Biology of Fishes. 55:99-</w:t>
      </w:r>
    </w:p>
    <w:p w14:paraId="2EF5AFBE"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119.</w:t>
      </w:r>
    </w:p>
    <w:p w14:paraId="2263E8DD" w14:textId="77777777" w:rsidR="00170E20" w:rsidRPr="00310524" w:rsidRDefault="00170E20">
      <w:pPr>
        <w:spacing w:line="240" w:lineRule="auto"/>
        <w:rPr>
          <w:rFonts w:ascii="Times New Roman" w:eastAsia="Times New Roman" w:hAnsi="Times New Roman" w:cs="Times New Roman"/>
          <w:sz w:val="24"/>
          <w:szCs w:val="24"/>
        </w:rPr>
      </w:pPr>
    </w:p>
    <w:p w14:paraId="6DE91BC8"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Swift, C.C., J.L. Nelson, C. Maslow, and T. Stein. (1989). Biology and</w:t>
      </w:r>
    </w:p>
    <w:p w14:paraId="22DBBC06"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distribution of the tidewater 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i/>
          <w:sz w:val="24"/>
          <w:szCs w:val="24"/>
        </w:rPr>
        <w:t xml:space="preserve"> </w:t>
      </w:r>
      <w:r w:rsidRPr="00310524">
        <w:rPr>
          <w:rFonts w:ascii="Times New Roman" w:eastAsia="Times New Roman" w:hAnsi="Times New Roman" w:cs="Times New Roman"/>
          <w:sz w:val="24"/>
          <w:szCs w:val="24"/>
        </w:rPr>
        <w:t>(Pisces:</w:t>
      </w:r>
    </w:p>
    <w:p w14:paraId="62C8E91A" w14:textId="77777777" w:rsidR="00170E20" w:rsidRPr="00310524" w:rsidRDefault="005D4F94">
      <w:pPr>
        <w:rPr>
          <w:rFonts w:ascii="Times New Roman" w:eastAsia="Times New Roman" w:hAnsi="Times New Roman" w:cs="Times New Roman"/>
          <w:sz w:val="24"/>
          <w:szCs w:val="24"/>
        </w:rPr>
      </w:pPr>
      <w:proofErr w:type="spellStart"/>
      <w:r w:rsidRPr="00310524">
        <w:rPr>
          <w:rFonts w:ascii="Times New Roman" w:eastAsia="Times New Roman" w:hAnsi="Times New Roman" w:cs="Times New Roman"/>
          <w:sz w:val="24"/>
          <w:szCs w:val="24"/>
        </w:rPr>
        <w:t>Gobiidae</w:t>
      </w:r>
      <w:proofErr w:type="spellEnd"/>
      <w:r w:rsidRPr="00310524">
        <w:rPr>
          <w:rFonts w:ascii="Times New Roman" w:eastAsia="Times New Roman" w:hAnsi="Times New Roman" w:cs="Times New Roman"/>
          <w:sz w:val="24"/>
          <w:szCs w:val="24"/>
        </w:rPr>
        <w:t>) of California. Natural History Museum of Los Angeles County,</w:t>
      </w:r>
    </w:p>
    <w:p w14:paraId="50A369C1"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No. 404.</w:t>
      </w:r>
    </w:p>
    <w:p w14:paraId="281CECC1" w14:textId="77777777" w:rsidR="00170E20" w:rsidRPr="00310524" w:rsidRDefault="00170E20">
      <w:pPr>
        <w:spacing w:line="240" w:lineRule="auto"/>
        <w:rPr>
          <w:rFonts w:ascii="Times New Roman" w:eastAsia="Times New Roman" w:hAnsi="Times New Roman" w:cs="Times New Roman"/>
          <w:sz w:val="24"/>
          <w:szCs w:val="24"/>
        </w:rPr>
      </w:pPr>
    </w:p>
    <w:p w14:paraId="78B3613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Swift, C.C., J.N. Baskin, and T.R. </w:t>
      </w:r>
      <w:proofErr w:type="spellStart"/>
      <w:r w:rsidRPr="00310524">
        <w:rPr>
          <w:rFonts w:ascii="Times New Roman" w:eastAsia="Times New Roman" w:hAnsi="Times New Roman" w:cs="Times New Roman"/>
          <w:sz w:val="24"/>
          <w:szCs w:val="24"/>
        </w:rPr>
        <w:t>Haglund</w:t>
      </w:r>
      <w:proofErr w:type="spellEnd"/>
      <w:r w:rsidRPr="00310524">
        <w:rPr>
          <w:rFonts w:ascii="Times New Roman" w:eastAsia="Times New Roman" w:hAnsi="Times New Roman" w:cs="Times New Roman"/>
          <w:sz w:val="24"/>
          <w:szCs w:val="24"/>
        </w:rPr>
        <w:t>. (1994). The status and distribution of</w:t>
      </w:r>
    </w:p>
    <w:p w14:paraId="14A517D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the tidewater 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i/>
          <w:sz w:val="24"/>
          <w:szCs w:val="24"/>
        </w:rPr>
        <w:t xml:space="preserve"> </w:t>
      </w:r>
      <w:r w:rsidRPr="00310524">
        <w:rPr>
          <w:rFonts w:ascii="Times New Roman" w:eastAsia="Times New Roman" w:hAnsi="Times New Roman" w:cs="Times New Roman"/>
          <w:sz w:val="24"/>
          <w:szCs w:val="24"/>
        </w:rPr>
        <w:t xml:space="preserve">(Pisces: </w:t>
      </w:r>
      <w:proofErr w:type="spellStart"/>
      <w:r w:rsidRPr="00310524">
        <w:rPr>
          <w:rFonts w:ascii="Times New Roman" w:eastAsia="Times New Roman" w:hAnsi="Times New Roman" w:cs="Times New Roman"/>
          <w:sz w:val="24"/>
          <w:szCs w:val="24"/>
        </w:rPr>
        <w:t>Gobiidae</w:t>
      </w:r>
      <w:proofErr w:type="spellEnd"/>
      <w:r w:rsidRPr="00310524">
        <w:rPr>
          <w:rFonts w:ascii="Times New Roman" w:eastAsia="Times New Roman" w:hAnsi="Times New Roman" w:cs="Times New Roman"/>
          <w:sz w:val="24"/>
          <w:szCs w:val="24"/>
        </w:rPr>
        <w:t>), on MCB</w:t>
      </w:r>
    </w:p>
    <w:p w14:paraId="1C8FF74F"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Camp Pendleton, California. Marine Corps Base Camp Pendleton, Report</w:t>
      </w:r>
    </w:p>
    <w:p w14:paraId="5A0F5CA0"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for Contract Number M0068193P4385. 69 pp.</w:t>
      </w:r>
    </w:p>
    <w:p w14:paraId="1A61588B" w14:textId="77777777" w:rsidR="00170E20" w:rsidRPr="00310524" w:rsidRDefault="00170E20">
      <w:pPr>
        <w:spacing w:line="240" w:lineRule="auto"/>
        <w:rPr>
          <w:rFonts w:ascii="Times New Roman" w:eastAsia="Times New Roman" w:hAnsi="Times New Roman" w:cs="Times New Roman"/>
          <w:sz w:val="24"/>
          <w:szCs w:val="24"/>
        </w:rPr>
      </w:pPr>
    </w:p>
    <w:p w14:paraId="238E8DFC"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Swift, C.C., Spies, B., </w:t>
      </w:r>
      <w:proofErr w:type="spellStart"/>
      <w:r w:rsidRPr="00310524">
        <w:rPr>
          <w:rFonts w:ascii="Times New Roman" w:eastAsia="Times New Roman" w:hAnsi="Times New Roman" w:cs="Times New Roman"/>
          <w:sz w:val="24"/>
          <w:szCs w:val="24"/>
        </w:rPr>
        <w:t>Ellingson</w:t>
      </w:r>
      <w:proofErr w:type="spellEnd"/>
      <w:r w:rsidRPr="00310524">
        <w:rPr>
          <w:rFonts w:ascii="Times New Roman" w:eastAsia="Times New Roman" w:hAnsi="Times New Roman" w:cs="Times New Roman"/>
          <w:sz w:val="24"/>
          <w:szCs w:val="24"/>
        </w:rPr>
        <w:t xml:space="preserve">, R.A. and Jacobs, D.K., (2016). A New Species of the Bay Goby Genus </w:t>
      </w:r>
      <w:proofErr w:type="spellStart"/>
      <w:r w:rsidRPr="00310524">
        <w:rPr>
          <w:rFonts w:ascii="Times New Roman" w:eastAsia="Times New Roman" w:hAnsi="Times New Roman" w:cs="Times New Roman"/>
          <w:sz w:val="24"/>
          <w:szCs w:val="24"/>
        </w:rPr>
        <w:t>Eucyclogobius</w:t>
      </w:r>
      <w:proofErr w:type="spellEnd"/>
      <w:r w:rsidRPr="00310524">
        <w:rPr>
          <w:rFonts w:ascii="Times New Roman" w:eastAsia="Times New Roman" w:hAnsi="Times New Roman" w:cs="Times New Roman"/>
          <w:sz w:val="24"/>
          <w:szCs w:val="24"/>
        </w:rPr>
        <w:t xml:space="preserve">, Endemic to Southern California: Evolution, Conservation, and Decline. </w:t>
      </w:r>
      <w:proofErr w:type="spellStart"/>
      <w:r w:rsidRPr="00310524">
        <w:rPr>
          <w:rFonts w:ascii="Times New Roman" w:eastAsia="Times New Roman" w:hAnsi="Times New Roman" w:cs="Times New Roman"/>
          <w:sz w:val="24"/>
          <w:szCs w:val="24"/>
        </w:rPr>
        <w:t>PloS</w:t>
      </w:r>
      <w:proofErr w:type="spellEnd"/>
      <w:r w:rsidRPr="00310524">
        <w:rPr>
          <w:rFonts w:ascii="Times New Roman" w:eastAsia="Times New Roman" w:hAnsi="Times New Roman" w:cs="Times New Roman"/>
          <w:sz w:val="24"/>
          <w:szCs w:val="24"/>
        </w:rPr>
        <w:t xml:space="preserve"> one, 11(7), </w:t>
      </w:r>
      <w:proofErr w:type="gramStart"/>
      <w:r w:rsidRPr="00310524">
        <w:rPr>
          <w:rFonts w:ascii="Times New Roman" w:eastAsia="Times New Roman" w:hAnsi="Times New Roman" w:cs="Times New Roman"/>
          <w:sz w:val="24"/>
          <w:szCs w:val="24"/>
        </w:rPr>
        <w:t>p.e</w:t>
      </w:r>
      <w:proofErr w:type="gramEnd"/>
      <w:r w:rsidRPr="00310524">
        <w:rPr>
          <w:rFonts w:ascii="Times New Roman" w:eastAsia="Times New Roman" w:hAnsi="Times New Roman" w:cs="Times New Roman"/>
          <w:sz w:val="24"/>
          <w:szCs w:val="24"/>
        </w:rPr>
        <w:t>0158543.</w:t>
      </w:r>
    </w:p>
    <w:p w14:paraId="2EE9CCF2" w14:textId="77777777" w:rsidR="00170E20" w:rsidRPr="00310524" w:rsidRDefault="00170E20">
      <w:pPr>
        <w:rPr>
          <w:rFonts w:ascii="Times New Roman" w:eastAsia="Times New Roman" w:hAnsi="Times New Roman" w:cs="Times New Roman"/>
          <w:sz w:val="24"/>
          <w:szCs w:val="24"/>
        </w:rPr>
      </w:pPr>
    </w:p>
    <w:p w14:paraId="5A6835E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The main principles of conservation agriculture. (2015). Retrieved from </w:t>
      </w:r>
      <w:hyperlink r:id="rId42" w:anchor="1a-3">
        <w:r w:rsidRPr="00310524">
          <w:rPr>
            <w:rFonts w:ascii="Times New Roman" w:eastAsia="Times New Roman" w:hAnsi="Times New Roman" w:cs="Times New Roman"/>
            <w:color w:val="1155CC"/>
            <w:sz w:val="24"/>
            <w:szCs w:val="24"/>
            <w:u w:val="single"/>
          </w:rPr>
          <w:t>http://www.fao.org/ag/ca/1b.html#1a-3</w:t>
        </w:r>
      </w:hyperlink>
    </w:p>
    <w:p w14:paraId="6AE9D961" w14:textId="77777777" w:rsidR="00170E20" w:rsidRPr="00310524" w:rsidRDefault="00170E20">
      <w:pPr>
        <w:rPr>
          <w:rFonts w:ascii="Times New Roman" w:eastAsia="Times New Roman" w:hAnsi="Times New Roman" w:cs="Times New Roman"/>
          <w:sz w:val="24"/>
          <w:szCs w:val="24"/>
        </w:rPr>
      </w:pPr>
    </w:p>
    <w:p w14:paraId="284549FD"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Tidewater </w:t>
      </w:r>
      <w:proofErr w:type="gramStart"/>
      <w:r w:rsidRPr="00310524">
        <w:rPr>
          <w:rFonts w:ascii="Times New Roman" w:eastAsia="Times New Roman" w:hAnsi="Times New Roman" w:cs="Times New Roman"/>
          <w:sz w:val="24"/>
          <w:szCs w:val="24"/>
        </w:rPr>
        <w:t xml:space="preserve">Goby  </w:t>
      </w:r>
      <w:proofErr w:type="spellStart"/>
      <w:r w:rsidRPr="00310524">
        <w:rPr>
          <w:rFonts w:ascii="Times New Roman" w:eastAsia="Times New Roman" w:hAnsi="Times New Roman" w:cs="Times New Roman"/>
          <w:sz w:val="24"/>
          <w:szCs w:val="24"/>
        </w:rPr>
        <w:t>Eucyclogobius</w:t>
      </w:r>
      <w:proofErr w:type="spellEnd"/>
      <w:proofErr w:type="gram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newberryi</w:t>
      </w:r>
      <w:proofErr w:type="spellEnd"/>
      <w:r w:rsidRPr="00310524">
        <w:rPr>
          <w:rFonts w:ascii="Times New Roman" w:eastAsia="Times New Roman" w:hAnsi="Times New Roman" w:cs="Times New Roman"/>
          <w:sz w:val="24"/>
          <w:szCs w:val="24"/>
        </w:rPr>
        <w:t xml:space="preserve">. (2014). Retrieved from </w:t>
      </w:r>
      <w:hyperlink r:id="rId43">
        <w:r w:rsidRPr="00310524">
          <w:rPr>
            <w:rFonts w:ascii="Times New Roman" w:eastAsia="Times New Roman" w:hAnsi="Times New Roman" w:cs="Times New Roman"/>
            <w:color w:val="1155CC"/>
            <w:sz w:val="24"/>
            <w:szCs w:val="24"/>
            <w:u w:val="single"/>
          </w:rPr>
          <w:t>https://www.fws.gov/arcata/es/fish/goby/goby.html</w:t>
        </w:r>
      </w:hyperlink>
    </w:p>
    <w:p w14:paraId="05342A2F" w14:textId="77777777" w:rsidR="00170E20" w:rsidRPr="00310524" w:rsidRDefault="00170E20">
      <w:pPr>
        <w:spacing w:line="240" w:lineRule="auto"/>
        <w:rPr>
          <w:rFonts w:ascii="Times New Roman" w:eastAsia="Times New Roman" w:hAnsi="Times New Roman" w:cs="Times New Roman"/>
          <w:sz w:val="24"/>
          <w:szCs w:val="24"/>
        </w:rPr>
      </w:pPr>
    </w:p>
    <w:p w14:paraId="3D42F430" w14:textId="77777777" w:rsidR="00170E20" w:rsidRPr="00310524" w:rsidRDefault="00170E20">
      <w:pPr>
        <w:spacing w:line="240" w:lineRule="auto"/>
        <w:rPr>
          <w:rFonts w:ascii="Times New Roman" w:eastAsia="Times New Roman" w:hAnsi="Times New Roman" w:cs="Times New Roman"/>
          <w:sz w:val="24"/>
          <w:szCs w:val="24"/>
        </w:rPr>
      </w:pPr>
    </w:p>
    <w:p w14:paraId="4C9EA83C"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United States Fish and Wildlife Service, 2014. </w:t>
      </w:r>
      <w:r w:rsidRPr="00310524">
        <w:rPr>
          <w:rFonts w:ascii="Times New Roman" w:eastAsia="Times New Roman" w:hAnsi="Times New Roman" w:cs="Times New Roman"/>
          <w:i/>
          <w:sz w:val="24"/>
          <w:szCs w:val="24"/>
        </w:rPr>
        <w:t>Tidewater goby (</w:t>
      </w:r>
      <w:proofErr w:type="spellStart"/>
      <w:r w:rsidRPr="00310524">
        <w:rPr>
          <w:rFonts w:ascii="Times New Roman" w:eastAsia="Times New Roman" w:hAnsi="Times New Roman" w:cs="Times New Roman"/>
          <w:i/>
          <w:sz w:val="24"/>
          <w:szCs w:val="24"/>
        </w:rPr>
        <w:t>Eucyclogobius</w:t>
      </w:r>
      <w:proofErr w:type="spellEnd"/>
      <w:r w:rsidRPr="00310524">
        <w:rPr>
          <w:rFonts w:ascii="Times New Roman" w:eastAsia="Times New Roman" w:hAnsi="Times New Roman" w:cs="Times New Roman"/>
          <w:i/>
          <w:sz w:val="24"/>
          <w:szCs w:val="24"/>
        </w:rPr>
        <w:t xml:space="preserve"> </w:t>
      </w:r>
      <w:proofErr w:type="spellStart"/>
      <w:r w:rsidRPr="00310524">
        <w:rPr>
          <w:rFonts w:ascii="Times New Roman" w:eastAsia="Times New Roman" w:hAnsi="Times New Roman" w:cs="Times New Roman"/>
          <w:i/>
          <w:sz w:val="24"/>
          <w:szCs w:val="24"/>
        </w:rPr>
        <w:t>newberryi</w:t>
      </w:r>
      <w:proofErr w:type="spellEnd"/>
      <w:r w:rsidRPr="00310524">
        <w:rPr>
          <w:rFonts w:ascii="Times New Roman" w:eastAsia="Times New Roman" w:hAnsi="Times New Roman" w:cs="Times New Roman"/>
          <w:sz w:val="24"/>
          <w:szCs w:val="24"/>
        </w:rPr>
        <w:t xml:space="preserve">). Arcata Fish and Wildlife Office. Retrieved from: </w:t>
      </w:r>
      <w:hyperlink r:id="rId44">
        <w:r w:rsidRPr="00310524">
          <w:rPr>
            <w:rFonts w:ascii="Times New Roman" w:eastAsia="Times New Roman" w:hAnsi="Times New Roman" w:cs="Times New Roman"/>
            <w:color w:val="1155CC"/>
            <w:sz w:val="24"/>
            <w:szCs w:val="24"/>
            <w:u w:val="single"/>
          </w:rPr>
          <w:t>https://www.fws.gov/arcata/es/fish/goby/goby.html</w:t>
        </w:r>
      </w:hyperlink>
      <w:r w:rsidRPr="00310524">
        <w:rPr>
          <w:rFonts w:ascii="Times New Roman" w:eastAsia="Times New Roman" w:hAnsi="Times New Roman" w:cs="Times New Roman"/>
          <w:sz w:val="24"/>
          <w:szCs w:val="24"/>
        </w:rPr>
        <w:t xml:space="preserve"> </w:t>
      </w:r>
    </w:p>
    <w:p w14:paraId="7DA8D49E" w14:textId="77777777" w:rsidR="00170E20" w:rsidRPr="00310524" w:rsidRDefault="00170E20">
      <w:pPr>
        <w:spacing w:line="240" w:lineRule="auto"/>
        <w:rPr>
          <w:rFonts w:ascii="Times New Roman" w:eastAsia="Times New Roman" w:hAnsi="Times New Roman" w:cs="Times New Roman"/>
          <w:sz w:val="24"/>
          <w:szCs w:val="24"/>
        </w:rPr>
      </w:pPr>
    </w:p>
    <w:p w14:paraId="50F1B4E6"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United States Environmental Protection Agency, 2016. </w:t>
      </w:r>
      <w:r w:rsidRPr="00310524">
        <w:rPr>
          <w:rFonts w:ascii="Times New Roman" w:eastAsia="Times New Roman" w:hAnsi="Times New Roman" w:cs="Times New Roman"/>
          <w:i/>
          <w:sz w:val="24"/>
          <w:szCs w:val="24"/>
        </w:rPr>
        <w:t>Pyrethrins and Pyrethroids</w:t>
      </w:r>
      <w:r w:rsidRPr="00310524">
        <w:rPr>
          <w:rFonts w:ascii="Times New Roman" w:eastAsia="Times New Roman" w:hAnsi="Times New Roman" w:cs="Times New Roman"/>
          <w:sz w:val="24"/>
          <w:szCs w:val="24"/>
        </w:rPr>
        <w:t xml:space="preserve">. Retrieved from: </w:t>
      </w:r>
      <w:hyperlink r:id="rId45">
        <w:r w:rsidRPr="00310524">
          <w:rPr>
            <w:rFonts w:ascii="Times New Roman" w:eastAsia="Times New Roman" w:hAnsi="Times New Roman" w:cs="Times New Roman"/>
            <w:color w:val="1155CC"/>
            <w:sz w:val="24"/>
            <w:szCs w:val="24"/>
            <w:u w:val="single"/>
          </w:rPr>
          <w:t>https://www.epa.gov/ingredients-used-pesticide-products/pyrethrins-and-pyrethroids</w:t>
        </w:r>
      </w:hyperlink>
      <w:r w:rsidRPr="00310524">
        <w:rPr>
          <w:rFonts w:ascii="Times New Roman" w:eastAsia="Times New Roman" w:hAnsi="Times New Roman" w:cs="Times New Roman"/>
          <w:sz w:val="24"/>
          <w:szCs w:val="24"/>
        </w:rPr>
        <w:t xml:space="preserve"> </w:t>
      </w:r>
    </w:p>
    <w:p w14:paraId="63B5AD00" w14:textId="77777777" w:rsidR="00170E20" w:rsidRPr="00310524" w:rsidRDefault="00170E20">
      <w:pPr>
        <w:spacing w:line="240" w:lineRule="auto"/>
        <w:rPr>
          <w:rFonts w:ascii="Times New Roman" w:eastAsia="Times New Roman" w:hAnsi="Times New Roman" w:cs="Times New Roman"/>
          <w:sz w:val="24"/>
          <w:szCs w:val="24"/>
        </w:rPr>
      </w:pPr>
    </w:p>
    <w:p w14:paraId="4BBAC3D9"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U.S. Department of the Interior. (2013). Designation of Critical Habitat for Tidewater Goby; Final Rule (Endangered and Threatened Wildlife and Plants No. Part 3). Retrieved from </w:t>
      </w:r>
      <w:hyperlink r:id="rId46">
        <w:r w:rsidRPr="00310524">
          <w:rPr>
            <w:rFonts w:ascii="Times New Roman" w:eastAsia="Times New Roman" w:hAnsi="Times New Roman" w:cs="Times New Roman"/>
            <w:color w:val="1155CC"/>
            <w:sz w:val="24"/>
            <w:szCs w:val="24"/>
            <w:u w:val="single"/>
          </w:rPr>
          <w:t>https://www.gpo.gov/fdsys/pkg/FR-2013-02-06/pdf/2013-02057.pdf</w:t>
        </w:r>
      </w:hyperlink>
    </w:p>
    <w:p w14:paraId="56F8366B" w14:textId="77777777" w:rsidR="00170E20" w:rsidRPr="00310524" w:rsidRDefault="00170E20">
      <w:pPr>
        <w:spacing w:line="240" w:lineRule="auto"/>
        <w:rPr>
          <w:rFonts w:ascii="Times New Roman" w:eastAsia="Times New Roman" w:hAnsi="Times New Roman" w:cs="Times New Roman"/>
          <w:sz w:val="24"/>
          <w:szCs w:val="24"/>
        </w:rPr>
      </w:pPr>
    </w:p>
    <w:p w14:paraId="0B4C97D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U.S. Fish and Wildlife Service. (1994). Endangered and threatened wildlife and</w:t>
      </w:r>
    </w:p>
    <w:p w14:paraId="146ACFD5"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plants: determination of endangered status for the tidewater goby. Federal</w:t>
      </w:r>
    </w:p>
    <w:p w14:paraId="60B3C9FC" w14:textId="77777777" w:rsidR="00170E20" w:rsidRPr="00310524" w:rsidRDefault="005D4F94">
      <w:pPr>
        <w:spacing w:line="240" w:lineRule="auto"/>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Register 59(24):5494-5498.</w:t>
      </w:r>
    </w:p>
    <w:p w14:paraId="6C58BDCF" w14:textId="77777777" w:rsidR="00170E20" w:rsidRPr="00310524" w:rsidRDefault="00170E20">
      <w:pPr>
        <w:spacing w:line="240" w:lineRule="auto"/>
        <w:rPr>
          <w:rFonts w:ascii="Times New Roman" w:eastAsia="Times New Roman" w:hAnsi="Times New Roman" w:cs="Times New Roman"/>
          <w:sz w:val="24"/>
          <w:szCs w:val="24"/>
        </w:rPr>
      </w:pPr>
    </w:p>
    <w:p w14:paraId="2376924E"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U.S. Fish and Wildlife Service. (2005). Recovery plan for the Tidewater Goby (</w:t>
      </w:r>
      <w:proofErr w:type="spellStart"/>
      <w:r w:rsidRPr="00310524">
        <w:rPr>
          <w:rFonts w:ascii="Times New Roman" w:eastAsia="Times New Roman" w:hAnsi="Times New Roman" w:cs="Times New Roman"/>
          <w:sz w:val="24"/>
          <w:szCs w:val="24"/>
        </w:rPr>
        <w:t>Eucyclogobius</w:t>
      </w:r>
      <w:proofErr w:type="spellEnd"/>
      <w:r w:rsidRPr="00310524">
        <w:rPr>
          <w:rFonts w:ascii="Times New Roman" w:eastAsia="Times New Roman" w:hAnsi="Times New Roman" w:cs="Times New Roman"/>
          <w:sz w:val="24"/>
          <w:szCs w:val="24"/>
        </w:rPr>
        <w:t xml:space="preserve"> </w:t>
      </w:r>
      <w:proofErr w:type="spellStart"/>
      <w:r w:rsidRPr="00310524">
        <w:rPr>
          <w:rFonts w:ascii="Times New Roman" w:eastAsia="Times New Roman" w:hAnsi="Times New Roman" w:cs="Times New Roman"/>
          <w:sz w:val="24"/>
          <w:szCs w:val="24"/>
        </w:rPr>
        <w:t>newberryi</w:t>
      </w:r>
      <w:proofErr w:type="spellEnd"/>
      <w:r w:rsidRPr="00310524">
        <w:rPr>
          <w:rFonts w:ascii="Times New Roman" w:eastAsia="Times New Roman" w:hAnsi="Times New Roman" w:cs="Times New Roman"/>
          <w:sz w:val="24"/>
          <w:szCs w:val="24"/>
        </w:rPr>
        <w:t>). U.S. Fish and Wildlife Service, Portland Oregon, vi + 199 pp.</w:t>
      </w:r>
    </w:p>
    <w:p w14:paraId="16D78797" w14:textId="77777777" w:rsidR="00170E20" w:rsidRPr="00310524" w:rsidRDefault="00170E20">
      <w:pPr>
        <w:rPr>
          <w:rFonts w:ascii="Times New Roman" w:eastAsia="Times New Roman" w:hAnsi="Times New Roman" w:cs="Times New Roman"/>
          <w:sz w:val="24"/>
          <w:szCs w:val="24"/>
        </w:rPr>
      </w:pPr>
    </w:p>
    <w:p w14:paraId="657969BF" w14:textId="77777777" w:rsidR="00170E20" w:rsidRPr="00310524" w:rsidRDefault="005D4F94">
      <w:pPr>
        <w:spacing w:after="240"/>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U.S Department of Health and Human Services. Toxicological Profile for Pyrethrins and Pyrethroids. Public Health Service, Agency for Toxic Substances and Disease Registry, 2003</w:t>
      </w:r>
    </w:p>
    <w:p w14:paraId="7DDA9F92"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lastRenderedPageBreak/>
        <w:t>What is Conservation Agriculture? (2015). Retrieved from http://www.fao.org/ag/ca/1a.html</w:t>
      </w:r>
    </w:p>
    <w:p w14:paraId="4728A66A" w14:textId="77777777" w:rsidR="00170E20" w:rsidRPr="00310524" w:rsidRDefault="005D4F94">
      <w:pPr>
        <w:rPr>
          <w:rFonts w:ascii="Times New Roman" w:eastAsia="Times New Roman" w:hAnsi="Times New Roman" w:cs="Times New Roman"/>
          <w:color w:val="1155CC"/>
          <w:sz w:val="24"/>
          <w:szCs w:val="24"/>
          <w:u w:val="single"/>
        </w:rPr>
      </w:pPr>
      <w:r w:rsidRPr="00310524">
        <w:rPr>
          <w:rFonts w:ascii="Times New Roman" w:eastAsia="Times New Roman" w:hAnsi="Times New Roman" w:cs="Times New Roman"/>
          <w:sz w:val="24"/>
          <w:szCs w:val="24"/>
        </w:rPr>
        <w:t xml:space="preserve">Weston, D. P., </w:t>
      </w:r>
      <w:proofErr w:type="spellStart"/>
      <w:r w:rsidRPr="00310524">
        <w:rPr>
          <w:rFonts w:ascii="Times New Roman" w:eastAsia="Times New Roman" w:hAnsi="Times New Roman" w:cs="Times New Roman"/>
          <w:sz w:val="24"/>
          <w:szCs w:val="24"/>
        </w:rPr>
        <w:t>Asbell</w:t>
      </w:r>
      <w:proofErr w:type="spellEnd"/>
      <w:r w:rsidRPr="00310524">
        <w:rPr>
          <w:rFonts w:ascii="Times New Roman" w:eastAsia="Times New Roman" w:hAnsi="Times New Roman" w:cs="Times New Roman"/>
          <w:sz w:val="24"/>
          <w:szCs w:val="24"/>
        </w:rPr>
        <w:t xml:space="preserve">, A. M., Hecht, S. A., </w:t>
      </w:r>
      <w:proofErr w:type="spellStart"/>
      <w:r w:rsidRPr="00310524">
        <w:rPr>
          <w:rFonts w:ascii="Times New Roman" w:eastAsia="Times New Roman" w:hAnsi="Times New Roman" w:cs="Times New Roman"/>
          <w:sz w:val="24"/>
          <w:szCs w:val="24"/>
        </w:rPr>
        <w:t>Scholz</w:t>
      </w:r>
      <w:proofErr w:type="spellEnd"/>
      <w:r w:rsidRPr="00310524">
        <w:rPr>
          <w:rFonts w:ascii="Times New Roman" w:eastAsia="Times New Roman" w:hAnsi="Times New Roman" w:cs="Times New Roman"/>
          <w:sz w:val="24"/>
          <w:szCs w:val="24"/>
        </w:rPr>
        <w:t xml:space="preserve">, N. L., &amp; </w:t>
      </w:r>
      <w:proofErr w:type="spellStart"/>
      <w:r w:rsidRPr="00310524">
        <w:rPr>
          <w:rFonts w:ascii="Times New Roman" w:eastAsia="Times New Roman" w:hAnsi="Times New Roman" w:cs="Times New Roman"/>
          <w:sz w:val="24"/>
          <w:szCs w:val="24"/>
        </w:rPr>
        <w:t>Lydy</w:t>
      </w:r>
      <w:proofErr w:type="spellEnd"/>
      <w:r w:rsidRPr="00310524">
        <w:rPr>
          <w:rFonts w:ascii="Times New Roman" w:eastAsia="Times New Roman" w:hAnsi="Times New Roman" w:cs="Times New Roman"/>
          <w:sz w:val="24"/>
          <w:szCs w:val="24"/>
        </w:rPr>
        <w:t xml:space="preserve">, M. J. (2011). Pyrethroid insecticides in urban salmon streams of the Pacific Northwest. </w:t>
      </w:r>
      <w:r w:rsidRPr="00310524">
        <w:rPr>
          <w:rFonts w:ascii="Times New Roman" w:eastAsia="Times New Roman" w:hAnsi="Times New Roman" w:cs="Times New Roman"/>
          <w:i/>
          <w:sz w:val="24"/>
          <w:szCs w:val="24"/>
        </w:rPr>
        <w:t>Environmental Pollution</w:t>
      </w:r>
      <w:r w:rsidRPr="00310524">
        <w:rPr>
          <w:rFonts w:ascii="Times New Roman" w:eastAsia="Times New Roman" w:hAnsi="Times New Roman" w:cs="Times New Roman"/>
          <w:sz w:val="24"/>
          <w:szCs w:val="24"/>
        </w:rPr>
        <w:t xml:space="preserve">, </w:t>
      </w:r>
      <w:r w:rsidRPr="00310524">
        <w:rPr>
          <w:rFonts w:ascii="Times New Roman" w:eastAsia="Times New Roman" w:hAnsi="Times New Roman" w:cs="Times New Roman"/>
          <w:i/>
          <w:sz w:val="24"/>
          <w:szCs w:val="24"/>
        </w:rPr>
        <w:t>159</w:t>
      </w:r>
      <w:r w:rsidRPr="00310524">
        <w:rPr>
          <w:rFonts w:ascii="Times New Roman" w:eastAsia="Times New Roman" w:hAnsi="Times New Roman" w:cs="Times New Roman"/>
          <w:sz w:val="24"/>
          <w:szCs w:val="24"/>
        </w:rPr>
        <w:t>(10), 3051–3056.</w:t>
      </w:r>
      <w:hyperlink r:id="rId47">
        <w:r w:rsidRPr="00310524">
          <w:rPr>
            <w:rFonts w:ascii="Times New Roman" w:eastAsia="Times New Roman" w:hAnsi="Times New Roman" w:cs="Times New Roman"/>
            <w:sz w:val="24"/>
            <w:szCs w:val="24"/>
          </w:rPr>
          <w:t xml:space="preserve"> </w:t>
        </w:r>
      </w:hyperlink>
      <w:hyperlink r:id="rId48">
        <w:r w:rsidRPr="00310524">
          <w:rPr>
            <w:rFonts w:ascii="Times New Roman" w:eastAsia="Times New Roman" w:hAnsi="Times New Roman" w:cs="Times New Roman"/>
            <w:color w:val="1155CC"/>
            <w:sz w:val="24"/>
            <w:szCs w:val="24"/>
            <w:u w:val="single"/>
          </w:rPr>
          <w:t>https://doi.org/10.1016/j.envpol.2011.04.008</w:t>
        </w:r>
      </w:hyperlink>
    </w:p>
    <w:p w14:paraId="7D850C71"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 </w:t>
      </w:r>
    </w:p>
    <w:p w14:paraId="743B4661"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t xml:space="preserve">Weston, D. P., &amp; </w:t>
      </w:r>
      <w:proofErr w:type="spellStart"/>
      <w:r w:rsidRPr="00310524">
        <w:rPr>
          <w:rFonts w:ascii="Times New Roman" w:eastAsia="Times New Roman" w:hAnsi="Times New Roman" w:cs="Times New Roman"/>
          <w:sz w:val="24"/>
          <w:szCs w:val="24"/>
        </w:rPr>
        <w:t>Lydy</w:t>
      </w:r>
      <w:proofErr w:type="spellEnd"/>
      <w:r w:rsidRPr="00310524">
        <w:rPr>
          <w:rFonts w:ascii="Times New Roman" w:eastAsia="Times New Roman" w:hAnsi="Times New Roman" w:cs="Times New Roman"/>
          <w:sz w:val="24"/>
          <w:szCs w:val="24"/>
        </w:rPr>
        <w:t xml:space="preserve">, M. J. (2010). Urban and Agricultural Sources of Pyrethroid Insecticides to the Sacramento-San Joaquin Delta of California. </w:t>
      </w:r>
      <w:r w:rsidRPr="00310524">
        <w:rPr>
          <w:rFonts w:ascii="Times New Roman" w:eastAsia="Times New Roman" w:hAnsi="Times New Roman" w:cs="Times New Roman"/>
          <w:i/>
          <w:sz w:val="24"/>
          <w:szCs w:val="24"/>
        </w:rPr>
        <w:t>Environmental Science &amp; Technology</w:t>
      </w:r>
      <w:r w:rsidRPr="00310524">
        <w:rPr>
          <w:rFonts w:ascii="Times New Roman" w:eastAsia="Times New Roman" w:hAnsi="Times New Roman" w:cs="Times New Roman"/>
          <w:sz w:val="24"/>
          <w:szCs w:val="24"/>
        </w:rPr>
        <w:t xml:space="preserve">, </w:t>
      </w:r>
      <w:r w:rsidRPr="00310524">
        <w:rPr>
          <w:rFonts w:ascii="Times New Roman" w:eastAsia="Times New Roman" w:hAnsi="Times New Roman" w:cs="Times New Roman"/>
          <w:i/>
          <w:sz w:val="24"/>
          <w:szCs w:val="24"/>
        </w:rPr>
        <w:t>44</w:t>
      </w:r>
      <w:r w:rsidRPr="00310524">
        <w:rPr>
          <w:rFonts w:ascii="Times New Roman" w:eastAsia="Times New Roman" w:hAnsi="Times New Roman" w:cs="Times New Roman"/>
          <w:sz w:val="24"/>
          <w:szCs w:val="24"/>
        </w:rPr>
        <w:t>(5), 1833–1840. https://doi.org/10.1021/es9035573</w:t>
      </w:r>
    </w:p>
    <w:p w14:paraId="2107F6D8" w14:textId="77777777" w:rsidR="00170E20" w:rsidRPr="00310524" w:rsidRDefault="00170E20">
      <w:pPr>
        <w:rPr>
          <w:rFonts w:ascii="Times New Roman" w:eastAsia="Times New Roman" w:hAnsi="Times New Roman" w:cs="Times New Roman"/>
        </w:rPr>
      </w:pPr>
    </w:p>
    <w:p w14:paraId="49957CD5" w14:textId="77777777" w:rsidR="00170E20" w:rsidRPr="00310524" w:rsidRDefault="00170E20">
      <w:pPr>
        <w:rPr>
          <w:rFonts w:ascii="Times New Roman" w:eastAsia="Times New Roman" w:hAnsi="Times New Roman" w:cs="Times New Roman"/>
        </w:rPr>
      </w:pPr>
    </w:p>
    <w:p w14:paraId="06E2D258" w14:textId="77777777" w:rsidR="00170E20" w:rsidRPr="00310524" w:rsidRDefault="00170E20">
      <w:pPr>
        <w:rPr>
          <w:rFonts w:ascii="Times New Roman" w:eastAsia="Times New Roman" w:hAnsi="Times New Roman" w:cs="Times New Roman"/>
        </w:rPr>
      </w:pPr>
    </w:p>
    <w:p w14:paraId="46AC4113" w14:textId="77777777" w:rsidR="00170E20" w:rsidRPr="00310524" w:rsidRDefault="00170E20">
      <w:pPr>
        <w:rPr>
          <w:rFonts w:ascii="Times New Roman" w:eastAsia="Times New Roman" w:hAnsi="Times New Roman" w:cs="Times New Roman"/>
        </w:rPr>
      </w:pPr>
    </w:p>
    <w:p w14:paraId="59495E34" w14:textId="77777777" w:rsidR="00170E20" w:rsidRPr="00310524" w:rsidRDefault="00170E20">
      <w:pPr>
        <w:rPr>
          <w:rFonts w:ascii="Times New Roman" w:eastAsia="Times New Roman" w:hAnsi="Times New Roman" w:cs="Times New Roman"/>
          <w:sz w:val="24"/>
          <w:szCs w:val="24"/>
        </w:rPr>
      </w:pPr>
    </w:p>
    <w:p w14:paraId="6EAFC4BC" w14:textId="77777777" w:rsidR="00170E20" w:rsidRPr="00310524" w:rsidRDefault="00170E20">
      <w:pPr>
        <w:rPr>
          <w:rFonts w:ascii="Times New Roman" w:eastAsia="Times New Roman" w:hAnsi="Times New Roman" w:cs="Times New Roman"/>
          <w:sz w:val="24"/>
          <w:szCs w:val="24"/>
        </w:rPr>
      </w:pPr>
    </w:p>
    <w:p w14:paraId="681B43F3"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br/>
      </w:r>
    </w:p>
    <w:p w14:paraId="790AB197"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br/>
      </w:r>
    </w:p>
    <w:p w14:paraId="2A4BF8C6" w14:textId="77777777" w:rsidR="00170E20" w:rsidRPr="00310524" w:rsidRDefault="00170E20">
      <w:pPr>
        <w:rPr>
          <w:rFonts w:ascii="Times New Roman" w:eastAsia="Times New Roman" w:hAnsi="Times New Roman" w:cs="Times New Roman"/>
          <w:sz w:val="24"/>
          <w:szCs w:val="24"/>
        </w:rPr>
      </w:pPr>
    </w:p>
    <w:p w14:paraId="3F9394C7"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br/>
      </w:r>
    </w:p>
    <w:p w14:paraId="1BBF6FC3"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br/>
      </w:r>
    </w:p>
    <w:p w14:paraId="1A2F3AAC" w14:textId="77777777"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br/>
      </w:r>
    </w:p>
    <w:p w14:paraId="3FF35D73" w14:textId="7DF46673" w:rsidR="00170E20" w:rsidRPr="00310524" w:rsidRDefault="005D4F94">
      <w:pPr>
        <w:rPr>
          <w:rFonts w:ascii="Times New Roman" w:eastAsia="Times New Roman" w:hAnsi="Times New Roman" w:cs="Times New Roman"/>
          <w:sz w:val="24"/>
          <w:szCs w:val="24"/>
        </w:rPr>
      </w:pPr>
      <w:r w:rsidRPr="00310524">
        <w:rPr>
          <w:rFonts w:ascii="Times New Roman" w:eastAsia="Times New Roman" w:hAnsi="Times New Roman" w:cs="Times New Roman"/>
          <w:sz w:val="24"/>
          <w:szCs w:val="24"/>
        </w:rPr>
        <w:br/>
      </w:r>
    </w:p>
    <w:sectPr w:rsidR="00170E20" w:rsidRPr="00310524" w:rsidSect="00226E1E">
      <w:footerReference w:type="default" r:id="rId49"/>
      <w:pgSz w:w="12240" w:h="15840"/>
      <w:pgMar w:top="1440" w:right="1440" w:bottom="1440" w:left="1440" w:header="0" w:footer="0" w:gutter="0"/>
      <w:pgNumType w:start="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B77D60" w14:textId="77777777" w:rsidR="0095544C" w:rsidRDefault="0095544C">
      <w:pPr>
        <w:spacing w:line="240" w:lineRule="auto"/>
      </w:pPr>
      <w:r>
        <w:separator/>
      </w:r>
    </w:p>
  </w:endnote>
  <w:endnote w:type="continuationSeparator" w:id="0">
    <w:p w14:paraId="0ABBE7B6" w14:textId="77777777" w:rsidR="0095544C" w:rsidRDefault="009554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Roboto">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7E1F5" w14:textId="77777777" w:rsidR="005D4F94" w:rsidRPr="00BA32FB" w:rsidRDefault="005D4F94">
    <w:pPr>
      <w:tabs>
        <w:tab w:val="center" w:pos="4680"/>
        <w:tab w:val="right" w:pos="9360"/>
      </w:tabs>
      <w:spacing w:line="240" w:lineRule="auto"/>
      <w:jc w:val="right"/>
      <w:rPr>
        <w:rFonts w:ascii="Times New Roman" w:eastAsia="Calibri" w:hAnsi="Times New Roman" w:cs="Times New Roman"/>
      </w:rPr>
    </w:pPr>
    <w:r w:rsidRPr="00BA32FB">
      <w:rPr>
        <w:rFonts w:ascii="Times New Roman" w:eastAsia="Calibri" w:hAnsi="Times New Roman" w:cs="Times New Roman"/>
      </w:rPr>
      <w:fldChar w:fldCharType="begin"/>
    </w:r>
    <w:r w:rsidRPr="00BA32FB">
      <w:rPr>
        <w:rFonts w:ascii="Times New Roman" w:eastAsia="Calibri" w:hAnsi="Times New Roman" w:cs="Times New Roman"/>
      </w:rPr>
      <w:instrText>PAGE</w:instrText>
    </w:r>
    <w:r w:rsidRPr="00BA32FB">
      <w:rPr>
        <w:rFonts w:ascii="Times New Roman" w:eastAsia="Calibri" w:hAnsi="Times New Roman" w:cs="Times New Roman"/>
      </w:rPr>
      <w:fldChar w:fldCharType="separate"/>
    </w:r>
    <w:r w:rsidR="003E4410">
      <w:rPr>
        <w:rFonts w:ascii="Times New Roman" w:eastAsia="Calibri" w:hAnsi="Times New Roman" w:cs="Times New Roman"/>
        <w:noProof/>
      </w:rPr>
      <w:t>1</w:t>
    </w:r>
    <w:r w:rsidRPr="00BA32FB">
      <w:rPr>
        <w:rFonts w:ascii="Times New Roman" w:eastAsia="Calibri" w:hAnsi="Times New Roman" w:cs="Times New Roman"/>
      </w:rPr>
      <w:fldChar w:fldCharType="end"/>
    </w:r>
  </w:p>
  <w:p w14:paraId="67042B00" w14:textId="77777777" w:rsidR="005D4F94" w:rsidRDefault="005D4F94">
    <w:pPr>
      <w:tabs>
        <w:tab w:val="center" w:pos="4680"/>
        <w:tab w:val="right" w:pos="9360"/>
      </w:tabs>
      <w:spacing w:after="720" w:line="240" w:lineRule="auto"/>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FD8D1" w14:textId="77777777" w:rsidR="0095544C" w:rsidRDefault="0095544C">
      <w:pPr>
        <w:spacing w:line="240" w:lineRule="auto"/>
      </w:pPr>
      <w:r>
        <w:separator/>
      </w:r>
    </w:p>
  </w:footnote>
  <w:footnote w:type="continuationSeparator" w:id="0">
    <w:p w14:paraId="18DBDCF5" w14:textId="77777777" w:rsidR="0095544C" w:rsidRDefault="0095544C">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BD5674"/>
    <w:multiLevelType w:val="multilevel"/>
    <w:tmpl w:val="DBFAA7C4"/>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1">
    <w:nsid w:val="2AE003F1"/>
    <w:multiLevelType w:val="multilevel"/>
    <w:tmpl w:val="CD3AD6B6"/>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2">
    <w:nsid w:val="40BA57AA"/>
    <w:multiLevelType w:val="multilevel"/>
    <w:tmpl w:val="C2D889BC"/>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48FF22A3"/>
    <w:multiLevelType w:val="hybridMultilevel"/>
    <w:tmpl w:val="B92444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FC66FD"/>
    <w:multiLevelType w:val="multilevel"/>
    <w:tmpl w:val="97064E1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587C68E5"/>
    <w:multiLevelType w:val="multilevel"/>
    <w:tmpl w:val="AB28879E"/>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6">
    <w:nsid w:val="61112038"/>
    <w:multiLevelType w:val="multilevel"/>
    <w:tmpl w:val="706C6E5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1"/>
  </w:num>
  <w:num w:numId="2">
    <w:abstractNumId w:val="4"/>
  </w:num>
  <w:num w:numId="3">
    <w:abstractNumId w:val="6"/>
  </w:num>
  <w:num w:numId="4">
    <w:abstractNumId w:val="2"/>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displayBackgroundShape/>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
  <w:rsids>
    <w:rsidRoot w:val="00170E20"/>
    <w:rsid w:val="00081FCD"/>
    <w:rsid w:val="0014375D"/>
    <w:rsid w:val="00170E20"/>
    <w:rsid w:val="001A6A13"/>
    <w:rsid w:val="001E00EB"/>
    <w:rsid w:val="00226E1E"/>
    <w:rsid w:val="002B291F"/>
    <w:rsid w:val="00310524"/>
    <w:rsid w:val="003E4410"/>
    <w:rsid w:val="005248FB"/>
    <w:rsid w:val="005D4F94"/>
    <w:rsid w:val="006C5862"/>
    <w:rsid w:val="007214BD"/>
    <w:rsid w:val="008B7FFD"/>
    <w:rsid w:val="008D4A67"/>
    <w:rsid w:val="0095544C"/>
    <w:rsid w:val="00A600B9"/>
    <w:rsid w:val="00BA32FB"/>
    <w:rsid w:val="00BB650B"/>
    <w:rsid w:val="00CC7CDA"/>
    <w:rsid w:val="00D542AF"/>
    <w:rsid w:val="00E16122"/>
    <w:rsid w:val="00F034AF"/>
    <w:rsid w:val="00F30C1E"/>
    <w:rsid w:val="00FE0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EB1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pPr>
      <w:keepNext/>
      <w:keepLines/>
      <w:spacing w:before="40"/>
      <w:outlineLvl w:val="2"/>
    </w:pPr>
    <w:rPr>
      <w:rFonts w:ascii="Calibri" w:eastAsia="Calibri" w:hAnsi="Calibri" w:cs="Calibri"/>
      <w:color w:val="1E4D78"/>
      <w:sz w:val="24"/>
      <w:szCs w:val="24"/>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D4F94"/>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4F94"/>
    <w:rPr>
      <w:rFonts w:ascii="Times New Roman" w:hAnsi="Times New Roman" w:cs="Times New Roman"/>
      <w:sz w:val="18"/>
      <w:szCs w:val="18"/>
    </w:rPr>
  </w:style>
  <w:style w:type="paragraph" w:styleId="ListParagraph">
    <w:name w:val="List Paragraph"/>
    <w:basedOn w:val="Normal"/>
    <w:uiPriority w:val="34"/>
    <w:qFormat/>
    <w:rsid w:val="00BA32FB"/>
    <w:pPr>
      <w:ind w:left="720"/>
      <w:contextualSpacing/>
    </w:pPr>
  </w:style>
  <w:style w:type="paragraph" w:styleId="Header">
    <w:name w:val="header"/>
    <w:basedOn w:val="Normal"/>
    <w:link w:val="HeaderChar"/>
    <w:uiPriority w:val="99"/>
    <w:unhideWhenUsed/>
    <w:rsid w:val="00BA32FB"/>
    <w:pPr>
      <w:tabs>
        <w:tab w:val="center" w:pos="4680"/>
        <w:tab w:val="right" w:pos="9360"/>
      </w:tabs>
      <w:spacing w:line="240" w:lineRule="auto"/>
    </w:pPr>
  </w:style>
  <w:style w:type="character" w:customStyle="1" w:styleId="HeaderChar">
    <w:name w:val="Header Char"/>
    <w:basedOn w:val="DefaultParagraphFont"/>
    <w:link w:val="Header"/>
    <w:uiPriority w:val="99"/>
    <w:rsid w:val="00BA32FB"/>
  </w:style>
  <w:style w:type="paragraph" w:styleId="Footer">
    <w:name w:val="footer"/>
    <w:basedOn w:val="Normal"/>
    <w:link w:val="FooterChar"/>
    <w:uiPriority w:val="99"/>
    <w:unhideWhenUsed/>
    <w:rsid w:val="00BA32FB"/>
    <w:pPr>
      <w:tabs>
        <w:tab w:val="center" w:pos="4680"/>
        <w:tab w:val="right" w:pos="9360"/>
      </w:tabs>
      <w:spacing w:line="240" w:lineRule="auto"/>
    </w:pPr>
  </w:style>
  <w:style w:type="character" w:customStyle="1" w:styleId="FooterChar">
    <w:name w:val="Footer Char"/>
    <w:basedOn w:val="DefaultParagraphFont"/>
    <w:link w:val="Footer"/>
    <w:uiPriority w:val="99"/>
    <w:rsid w:val="00BA3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gpo.gov/fdsys/pkg/FR-2013-02-06/pdf/2013-02057.pdf" TargetMode="External"/><Relationship Id="rId47" Type="http://schemas.openxmlformats.org/officeDocument/2006/relationships/hyperlink" Target="https://doi.org/10.1016/j.envpol.2011.04.008" TargetMode="External"/><Relationship Id="rId48" Type="http://schemas.openxmlformats.org/officeDocument/2006/relationships/hyperlink" Target="https://doi.org/10.1016/j.envpol.2011.04.008" TargetMode="External"/><Relationship Id="rId49" Type="http://schemas.openxmlformats.org/officeDocument/2006/relationships/footer" Target="footer1.xml"/><Relationship Id="rId20" Type="http://schemas.openxmlformats.org/officeDocument/2006/relationships/hyperlink" Target="http://www.cdpr.ca.gov/docs/emon/pubs/fatememo/cyflthrn.pdf" TargetMode="External"/><Relationship Id="rId21" Type="http://schemas.openxmlformats.org/officeDocument/2006/relationships/hyperlink" Target="http://conservationagriculture.mannlib.cornell.edu/" TargetMode="External"/><Relationship Id="rId22" Type="http://schemas.openxmlformats.org/officeDocument/2006/relationships/hyperlink" Target="http://www.cdpr.ca.gov/docs/emon/pubs/fatememo/cyflthrn.pdf" TargetMode="External"/><Relationship Id="rId23" Type="http://schemas.openxmlformats.org/officeDocument/2006/relationships/hyperlink" Target="https://doi.org/10.1080/15287398509530671" TargetMode="External"/><Relationship Id="rId24" Type="http://schemas.openxmlformats.org/officeDocument/2006/relationships/hyperlink" Target="https://doi.org/10.1080/15287398509530671" TargetMode="External"/><Relationship Id="rId25" Type="http://schemas.openxmlformats.org/officeDocument/2006/relationships/hyperlink" Target="https://doi.org/10.1111/j.1752-1688.2006.tb03819.x" TargetMode="External"/><Relationship Id="rId26" Type="http://schemas.openxmlformats.org/officeDocument/2006/relationships/hyperlink" Target="http://www.cdpr.ca.gov/docs/whs/pdf/hs1722.pdf" TargetMode="External"/><Relationship Id="rId27" Type="http://schemas.openxmlformats.org/officeDocument/2006/relationships/hyperlink" Target="http://www.cdpr.ca.gov/docs/whs/pdf/hs1722.pdf" TargetMode="External"/><Relationship Id="rId28" Type="http://schemas.openxmlformats.org/officeDocument/2006/relationships/hyperlink" Target="https://doi.org/10.1029/2009JF001302" TargetMode="External"/><Relationship Id="rId29" Type="http://schemas.openxmlformats.org/officeDocument/2006/relationships/hyperlink" Target="https://www.gpo.gov/fdsys/pkg/FR-2013-02-06/pdf/2013-02057.pdf"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doi.org/10.1007/BF00116342" TargetMode="External"/><Relationship Id="rId31" Type="http://schemas.openxmlformats.org/officeDocument/2006/relationships/hyperlink" Target="https://doi.org/10.1016/j.ygcen.2013.02.047" TargetMode="External"/><Relationship Id="rId32" Type="http://schemas.openxmlformats.org/officeDocument/2006/relationships/hyperlink" Target="https://doi.org/10.1016/j.ygcen.2013.02.047" TargetMode="External"/><Relationship Id="rId9" Type="http://schemas.openxmlformats.org/officeDocument/2006/relationships/image" Target="media/image3.jpg"/><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33" Type="http://schemas.openxmlformats.org/officeDocument/2006/relationships/hyperlink" Target="http://www.vanderbilt.edu/exploration/text/index.php?action=view_section&amp;id=1104&amp;story_id=268&amp;images=" TargetMode="External"/><Relationship Id="rId34" Type="http://schemas.openxmlformats.org/officeDocument/2006/relationships/hyperlink" Target="http://www.cdpr.ca.gov/docs/emon/pubs/fatememo/pyrethrin_efate2.pdf" TargetMode="External"/><Relationship Id="rId35" Type="http://schemas.openxmlformats.org/officeDocument/2006/relationships/hyperlink" Target="https://yosemite.epa.gov/r9/sfund/r9sfdocw.nsf/ViewByEPAID/cad009688052" TargetMode="External"/><Relationship Id="rId36" Type="http://schemas.openxmlformats.org/officeDocument/2006/relationships/hyperlink" Target="http://www.cdpr.ca.gov/docs/emon/pubs/fatememo/pyrethrin_efate2.pdf"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hyperlink" Target="http://ipm.ucanr.edu/PMG/C734/m734yi01.html" TargetMode="External"/><Relationship Id="rId16" Type="http://schemas.openxmlformats.org/officeDocument/2006/relationships/hyperlink" Target="http://www.scc.ca.gov/webmaster/ftp/pdf/bayreports/first_year_report.pdf" TargetMode="External"/><Relationship Id="rId17" Type="http://schemas.openxmlformats.org/officeDocument/2006/relationships/hyperlink" Target="http://www.cdpr.ca.gov/docs/pur/purmain.htm" TargetMode="External"/><Relationship Id="rId18" Type="http://schemas.openxmlformats.org/officeDocument/2006/relationships/hyperlink" Target="http://www.cdpr.ca.gov/docs/pur/purmain.htm" TargetMode="External"/><Relationship Id="rId19" Type="http://schemas.openxmlformats.org/officeDocument/2006/relationships/hyperlink" Target="http://www.waterboards.ca.gov/water_issues/programs/swamp/spot/" TargetMode="External"/><Relationship Id="rId37" Type="http://schemas.openxmlformats.org/officeDocument/2006/relationships/hyperlink" Target="http://www.cdpr.ca.gov/docs/emon/pubs/fatememo/permethrin.pdf" TargetMode="External"/><Relationship Id="rId38" Type="http://schemas.openxmlformats.org/officeDocument/2006/relationships/hyperlink" Target="http://www.cdpr.ca.gov/docs/emon/pubs/fatememo/cyperm.pdf" TargetMode="External"/><Relationship Id="rId39" Type="http://schemas.openxmlformats.org/officeDocument/2006/relationships/hyperlink" Target="https://www.epa.gov/ingredients-used-pesticide-products/pyrethrins-and-pyrethroids" TargetMode="External"/><Relationship Id="rId40" Type="http://schemas.openxmlformats.org/officeDocument/2006/relationships/hyperlink" Target="https://www.casqa.org/sites/default/files/library/technical-reports/casqa_review_of_pyrethroid_fipronil_and_toxicity_monitoring_data_-_july_2013.pdf" TargetMode="External"/><Relationship Id="rId41" Type="http://schemas.openxmlformats.org/officeDocument/2006/relationships/hyperlink" Target="http://www.waterboards.ca.gov/water_issues/programs/swamp/spot/" TargetMode="External"/><Relationship Id="rId42" Type="http://schemas.openxmlformats.org/officeDocument/2006/relationships/hyperlink" Target="http://www.fao.org/ag/ca/1b.html" TargetMode="External"/><Relationship Id="rId43" Type="http://schemas.openxmlformats.org/officeDocument/2006/relationships/hyperlink" Target="https://www.fws.gov/arcata/es/fish/goby/goby.html" TargetMode="External"/><Relationship Id="rId44" Type="http://schemas.openxmlformats.org/officeDocument/2006/relationships/hyperlink" Target="https://www.fws.gov/arcata/es/fish/goby/goby.html" TargetMode="External"/><Relationship Id="rId45" Type="http://schemas.openxmlformats.org/officeDocument/2006/relationships/hyperlink" Target="https://www.epa.gov/ingredients-used-pesticide-products/pyrethrins-and-pyrethro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38</Pages>
  <Words>12915</Words>
  <Characters>73622</Characters>
  <Application>Microsoft Macintosh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Natalie Shahbol</cp:lastModifiedBy>
  <cp:revision>11</cp:revision>
  <dcterms:created xsi:type="dcterms:W3CDTF">2017-05-31T20:49:00Z</dcterms:created>
  <dcterms:modified xsi:type="dcterms:W3CDTF">2017-05-31T23:18:00Z</dcterms:modified>
</cp:coreProperties>
</file>